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Calibri" w:cs="Calibri" w:eastAsia="Calibri" w:hAnsi="Calibri"/>
          <w:sz w:val="20"/>
          <w:szCs w:val="20"/>
          <w:b w:val="1"/>
          <w:bCs w:val="1"/>
          <w:color w:val="auto"/>
        </w:rPr>
        <w:t>BankUnited, N.A.</w:t>
      </w:r>
    </w:p>
    <w:p>
      <w:pPr>
        <w:jc w:val="right"/>
        <w:spacing w:after="0" w:line="238" w:lineRule="auto"/>
        <w:rPr>
          <w:sz w:val="20"/>
          <w:szCs w:val="20"/>
          <w:color w:val="auto"/>
        </w:rPr>
      </w:pPr>
      <w:r>
        <w:rPr>
          <w:rFonts w:ascii="Calibri" w:cs="Calibri" w:eastAsia="Calibri" w:hAnsi="Calibri"/>
          <w:sz w:val="20"/>
          <w:szCs w:val="20"/>
          <w:b w:val="1"/>
          <w:bCs w:val="1"/>
          <w:color w:val="auto"/>
        </w:rPr>
        <w:t>7815 NW 148th Street</w:t>
      </w:r>
    </w:p>
    <w:p>
      <w:pPr>
        <w:spacing w:after="0" w:line="13" w:lineRule="exact"/>
        <w:rPr>
          <w:sz w:val="24"/>
          <w:szCs w:val="24"/>
          <w:color w:val="auto"/>
        </w:rPr>
      </w:pPr>
    </w:p>
    <w:p>
      <w:pPr>
        <w:jc w:val="right"/>
        <w:spacing w:after="0"/>
        <w:rPr>
          <w:sz w:val="20"/>
          <w:szCs w:val="20"/>
          <w:color w:val="auto"/>
        </w:rPr>
      </w:pPr>
      <w:r>
        <w:rPr>
          <w:rFonts w:ascii="Calibri" w:cs="Calibri" w:eastAsia="Calibri" w:hAnsi="Calibri"/>
          <w:sz w:val="20"/>
          <w:szCs w:val="20"/>
          <w:b w:val="1"/>
          <w:bCs w:val="1"/>
          <w:color w:val="auto"/>
        </w:rPr>
        <w:t>Miami Lakes, FL 33016</w:t>
      </w:r>
    </w:p>
    <w:p>
      <w:pPr>
        <w:jc w:val="right"/>
        <w:spacing w:after="0" w:line="238" w:lineRule="auto"/>
        <w:rPr>
          <w:sz w:val="20"/>
          <w:szCs w:val="20"/>
          <w:color w:val="auto"/>
        </w:rPr>
      </w:pPr>
      <w:r>
        <w:rPr>
          <w:rFonts w:ascii="Calibri" w:cs="Calibri" w:eastAsia="Calibri" w:hAnsi="Calibri"/>
          <w:sz w:val="20"/>
          <w:szCs w:val="20"/>
          <w:b w:val="1"/>
          <w:bCs w:val="1"/>
          <w:color w:val="auto"/>
        </w:rPr>
        <w:t>T 877 779 2265</w:t>
      </w:r>
    </w:p>
    <w:p>
      <w:pPr>
        <w:spacing w:after="0" w:line="13" w:lineRule="exact"/>
        <w:rPr>
          <w:sz w:val="24"/>
          <w:szCs w:val="24"/>
          <w:color w:val="auto"/>
        </w:rPr>
      </w:pPr>
    </w:p>
    <w:p>
      <w:pPr>
        <w:jc w:val="right"/>
        <w:spacing w:after="0"/>
        <w:rPr>
          <w:sz w:val="20"/>
          <w:szCs w:val="20"/>
          <w:color w:val="auto"/>
        </w:rPr>
      </w:pPr>
      <w:r>
        <w:rPr>
          <w:rFonts w:ascii="Calibri" w:cs="Calibri" w:eastAsia="Calibri" w:hAnsi="Calibri"/>
          <w:sz w:val="20"/>
          <w:szCs w:val="20"/>
          <w:b w:val="1"/>
          <w:bCs w:val="1"/>
          <w:color w:val="auto"/>
        </w:rPr>
        <w:t>www.bankunited.com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405890" cy="145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 12, 2022</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 Office of Finance</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Attn: Bonnie Baynes and Sharon Blume</w:t>
      </w:r>
    </w:p>
    <w:p>
      <w:pPr>
        <w:spacing w:after="0" w:line="248" w:lineRule="exact"/>
        <w:rPr>
          <w:sz w:val="24"/>
          <w:szCs w:val="24"/>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RE:</w:t>
        <w:tab/>
        <w:t>BankUnited, Inc.</w:t>
      </w:r>
    </w:p>
    <w:p>
      <w:pPr>
        <w:spacing w:after="0" w:line="29"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22"/>
          <w:szCs w:val="22"/>
          <w:color w:val="auto"/>
        </w:rPr>
        <w:t>Form 10-K for the fiscal year ended December 31, 2021</w:t>
      </w:r>
    </w:p>
    <w:p>
      <w:pPr>
        <w:spacing w:after="0" w:line="17"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22"/>
          <w:szCs w:val="22"/>
          <w:color w:val="auto"/>
        </w:rPr>
        <w:t>Filed on February 24, 2022</w:t>
      </w:r>
    </w:p>
    <w:p>
      <w:pPr>
        <w:spacing w:after="0" w:line="17"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22"/>
          <w:szCs w:val="22"/>
          <w:color w:val="auto"/>
        </w:rPr>
        <w:t>File No. 001-35039</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Ms. Baynes and Ms. Blume:</w:t>
      </w:r>
    </w:p>
    <w:p>
      <w:pPr>
        <w:spacing w:after="0" w:line="260" w:lineRule="exact"/>
        <w:rPr>
          <w:sz w:val="24"/>
          <w:szCs w:val="24"/>
          <w:color w:val="auto"/>
        </w:rPr>
      </w:pPr>
    </w:p>
    <w:p>
      <w:pPr>
        <w:jc w:val="both"/>
        <w:ind w:firstLine="243"/>
        <w:spacing w:after="0" w:line="265" w:lineRule="auto"/>
        <w:rPr>
          <w:sz w:val="20"/>
          <w:szCs w:val="20"/>
          <w:color w:val="auto"/>
        </w:rPr>
      </w:pPr>
      <w:r>
        <w:rPr>
          <w:rFonts w:ascii="Times New Roman" w:cs="Times New Roman" w:eastAsia="Times New Roman" w:hAnsi="Times New Roman"/>
          <w:sz w:val="22"/>
          <w:szCs w:val="22"/>
          <w:color w:val="auto"/>
        </w:rPr>
        <w:t>On behalf of BankUnited,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set forth below is the response of the Company to the comments of the staff of the Division of Corporation Finance (the “</w:t>
      </w:r>
      <w:r>
        <w:rPr>
          <w:rFonts w:ascii="Times New Roman" w:cs="Times New Roman" w:eastAsia="Times New Roman" w:hAnsi="Times New Roman"/>
          <w:sz w:val="22"/>
          <w:szCs w:val="22"/>
          <w:u w:val="single" w:color="auto"/>
          <w:color w:val="auto"/>
        </w:rPr>
        <w:t>Staff</w:t>
      </w:r>
      <w:r>
        <w:rPr>
          <w:rFonts w:ascii="Times New Roman" w:cs="Times New Roman" w:eastAsia="Times New Roman" w:hAnsi="Times New Roman"/>
          <w:sz w:val="22"/>
          <w:szCs w:val="22"/>
          <w:color w:val="auto"/>
        </w:rPr>
        <w:t>”) of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set forth in the Staff’s letter, dated May 3, 2022, regarding the Company’s Annual Report on Form 10-K for the fiscal year ended December 31, 2021 (the “</w:t>
      </w:r>
      <w:r>
        <w:rPr>
          <w:rFonts w:ascii="Times New Roman" w:cs="Times New Roman" w:eastAsia="Times New Roman" w:hAnsi="Times New Roman"/>
          <w:sz w:val="22"/>
          <w:szCs w:val="22"/>
          <w:u w:val="single" w:color="auto"/>
          <w:color w:val="auto"/>
        </w:rPr>
        <w:t>Form 10-K</w:t>
      </w:r>
      <w:r>
        <w:rPr>
          <w:rFonts w:ascii="Times New Roman" w:cs="Times New Roman" w:eastAsia="Times New Roman" w:hAnsi="Times New Roman"/>
          <w:sz w:val="22"/>
          <w:szCs w:val="22"/>
          <w:color w:val="auto"/>
        </w:rPr>
        <w:t>”) filed with the Commission on February 24, 2022.</w:t>
      </w:r>
    </w:p>
    <w:p>
      <w:pPr>
        <w:spacing w:after="0" w:line="206" w:lineRule="exact"/>
        <w:rPr>
          <w:sz w:val="24"/>
          <w:szCs w:val="24"/>
          <w:color w:val="auto"/>
        </w:rPr>
      </w:pPr>
    </w:p>
    <w:p>
      <w:pPr>
        <w:jc w:val="both"/>
        <w:ind w:firstLine="218"/>
        <w:spacing w:after="0" w:line="284" w:lineRule="auto"/>
        <w:rPr>
          <w:sz w:val="20"/>
          <w:szCs w:val="20"/>
          <w:color w:val="auto"/>
        </w:rPr>
      </w:pPr>
      <w:r>
        <w:rPr>
          <w:rFonts w:ascii="Times New Roman" w:cs="Times New Roman" w:eastAsia="Times New Roman" w:hAnsi="Times New Roman"/>
          <w:sz w:val="22"/>
          <w:szCs w:val="22"/>
          <w:color w:val="auto"/>
        </w:rPr>
        <w:t>For your convenience, the Staff’s comments are set forth in bold, followed by responses on behalf of the Company. Capitalized terms used but not otherwise defined herein shall have the meanings assigned to such terms in the Form 10-K.</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Form 10-K for the fiscal year ended December 31, 2021</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Notes to Consolidated Financial Statements</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Note 1. Basis of Presentation and Summary of Significant Accounting Policies, page 78</w:t>
      </w:r>
    </w:p>
    <w:p>
      <w:pPr>
        <w:spacing w:after="0" w:line="149" w:lineRule="exact"/>
        <w:rPr>
          <w:sz w:val="24"/>
          <w:szCs w:val="24"/>
          <w:color w:val="auto"/>
        </w:rPr>
      </w:pPr>
    </w:p>
    <w:p>
      <w:pPr>
        <w:jc w:val="both"/>
        <w:ind w:left="660" w:hanging="328"/>
        <w:spacing w:after="0" w:line="265" w:lineRule="auto"/>
        <w:tabs>
          <w:tab w:leader="none" w:pos="655" w:val="left"/>
        </w:tabs>
        <w:numPr>
          <w:ilvl w:val="0"/>
          <w:numId w:val="1"/>
        </w:numPr>
        <w:rPr>
          <w:rFonts w:ascii="Calibri" w:cs="Calibri" w:eastAsia="Calibri" w:hAnsi="Calibri"/>
          <w:sz w:val="20"/>
          <w:szCs w:val="20"/>
          <w:b w:val="1"/>
          <w:bCs w:val="1"/>
          <w:color w:val="auto"/>
        </w:rPr>
      </w:pPr>
      <w:r>
        <w:rPr>
          <w:rFonts w:ascii="Times New Roman" w:cs="Times New Roman" w:eastAsia="Times New Roman" w:hAnsi="Times New Roman"/>
          <w:sz w:val="22"/>
          <w:szCs w:val="22"/>
          <w:b w:val="1"/>
          <w:bCs w:val="1"/>
          <w:color w:val="auto"/>
        </w:rPr>
        <w:t>We note you removed disclosure included in your 2019 10-K that indicated the company has a single reportable segment. Please tell us if you made any changes to your reportable segments and if so, when those changes were made. In addition, provide us with revised disclosure for inclusion in future filings that clearly identifies your reportable segment(s) and the factors you use to identify them, including the basis of organization, and whether operating segments have been aggregated into your reportable segment(s). Refer to ASC 280-10-50-21.</w:t>
      </w:r>
    </w:p>
    <w:p>
      <w:pPr>
        <w:spacing w:after="0" w:line="113"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22"/>
          <w:szCs w:val="22"/>
          <w:u w:val="single" w:color="auto"/>
          <w:color w:val="auto"/>
        </w:rPr>
        <w:t>Response</w:t>
      </w:r>
      <w:r>
        <w:rPr>
          <w:rFonts w:ascii="Times New Roman" w:cs="Times New Roman" w:eastAsia="Times New Roman" w:hAnsi="Times New Roman"/>
          <w:sz w:val="22"/>
          <w:szCs w:val="22"/>
          <w:color w:val="auto"/>
        </w:rPr>
        <w:t>: The Company has not made any changes to its reportable segments since the disclosure in its Annual Report on Form 10-K for the fiscal year ended December 31, 2019, filed</w:t>
      </w:r>
    </w:p>
    <w:p>
      <w:pPr>
        <w:sectPr>
          <w:pgSz w:w="11900" w:h="16838" w:orient="portrait"/>
          <w:cols w:equalWidth="0" w:num="1">
            <w:col w:w="11240"/>
          </w:cols>
          <w:pgMar w:left="320" w:top="213" w:right="339" w:bottom="1440" w:gutter="0" w:footer="0" w:header="0"/>
        </w:sectPr>
      </w:pPr>
    </w:p>
    <w:bookmarkStart w:id="1" w:name="page2"/>
    <w:bookmarkEnd w:id="1"/>
    <w:p>
      <w:pPr>
        <w:jc w:val="both"/>
        <w:spacing w:after="0" w:line="284" w:lineRule="auto"/>
        <w:rPr>
          <w:sz w:val="20"/>
          <w:szCs w:val="20"/>
          <w:color w:val="auto"/>
        </w:rPr>
      </w:pPr>
      <w:r>
        <w:rPr>
          <w:rFonts w:ascii="Times New Roman" w:cs="Times New Roman" w:eastAsia="Times New Roman" w:hAnsi="Times New Roman"/>
          <w:sz w:val="22"/>
          <w:szCs w:val="22"/>
          <w:color w:val="auto"/>
        </w:rPr>
        <w:t>on February 28, 2020. The Company will include the following disclosure in future reports on Forms 10-Q and 10-K as applicable:</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has a single operating segment and thus a single reportable segment. While management monitors the revenue streams of its various business units, the business units serve a similar base of primarily commercial clients, providing a similar range of products and services, managed through similar processes and platforms. The Company’s chief operating decision maker makes company-wide resource allocation decisions and assessments of performance based on a collective assessment of the Company’s operations.”</w:t>
      </w:r>
    </w:p>
    <w:p>
      <w:pPr>
        <w:spacing w:after="0" w:line="85" w:lineRule="exact"/>
        <w:rPr>
          <w:sz w:val="20"/>
          <w:szCs w:val="20"/>
          <w:color w:val="auto"/>
        </w:rPr>
      </w:pPr>
    </w:p>
    <w:p>
      <w:pPr>
        <w:jc w:val="center"/>
        <w:spacing w:after="0"/>
        <w:tabs>
          <w:tab w:leader="none" w:pos="200" w:val="left"/>
          <w:tab w:leader="none" w:pos="180" w:val="left"/>
          <w:tab w:leader="none" w:pos="200" w:val="left"/>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tab/>
        <w:t>*</w:t>
        <w:tab/>
        <w:t>*</w:t>
        <w:tab/>
        <w:t>*</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22" w:right="339" w:bottom="1440" w:gutter="0" w:footer="0" w:header="0"/>
        </w:sectPr>
      </w:pPr>
    </w:p>
    <w:bookmarkStart w:id="2" w:name="page3"/>
    <w:bookmarkEnd w:id="2"/>
    <w:p>
      <w:pPr>
        <w:ind w:firstLine="245"/>
        <w:spacing w:after="0" w:line="284" w:lineRule="auto"/>
        <w:rPr>
          <w:sz w:val="20"/>
          <w:szCs w:val="20"/>
          <w:color w:val="auto"/>
        </w:rPr>
      </w:pPr>
      <w:r>
        <w:rPr>
          <w:rFonts w:ascii="Times New Roman" w:cs="Times New Roman" w:eastAsia="Times New Roman" w:hAnsi="Times New Roman"/>
          <w:sz w:val="22"/>
          <w:szCs w:val="22"/>
          <w:color w:val="auto"/>
        </w:rPr>
        <w:t>If you have any questions or require any additional information in connection with the filing, please do not hesitate to contact the undersigned at (786) 313-1698.</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Sincerely yours,</w:t>
      </w:r>
    </w:p>
    <w:p>
      <w:pPr>
        <w:spacing w:after="0" w:line="1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u w:val="single" w:color="auto"/>
          <w:color w:val="auto"/>
        </w:rPr>
        <w:t>s/ Leslie Lunak</w:t>
      </w:r>
    </w:p>
    <w:p>
      <w:pPr>
        <w:spacing w:after="0" w:line="2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Leslie Lunak</w:t>
      </w:r>
    </w:p>
    <w:p>
      <w:pPr>
        <w:ind w:left="174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2022-06-14T23:09:26Z</dcterms:created>
  <dcterms:modified xsi:type="dcterms:W3CDTF">2022-06-14T23:09:26Z</dcterms:modified>
</cp:coreProperties>
</file>