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481965</wp:posOffset>
            </wp:positionH>
            <wp:positionV relativeFrom="page">
              <wp:posOffset>455930</wp:posOffset>
            </wp:positionV>
            <wp:extent cx="65849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4950" cy="8255"/>
                    </a:xfrm>
                    <a:prstGeom prst="rect">
                      <a:avLst/>
                    </a:prstGeom>
                    <a:noFill/>
                  </pic:spPr>
                </pic:pic>
              </a:graphicData>
            </a:graphic>
          </wp:anchor>
        </w:drawing>
        <w:drawing>
          <wp:anchor simplePos="0" relativeHeight="251657728" behindDoc="1" locked="0" layoutInCell="0" allowOverlap="1">
            <wp:simplePos x="0" y="0"/>
            <wp:positionH relativeFrom="page">
              <wp:posOffset>481965</wp:posOffset>
            </wp:positionH>
            <wp:positionV relativeFrom="page">
              <wp:posOffset>414655</wp:posOffset>
            </wp:positionV>
            <wp:extent cx="65849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4950" cy="1651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57" w:lineRule="exact"/>
        <w:rPr>
          <w:sz w:val="24"/>
          <w:szCs w:val="24"/>
          <w:color w:val="auto"/>
        </w:rPr>
      </w:pPr>
    </w:p>
    <w:p>
      <w:pPr>
        <w:ind w:left="520" w:hanging="291"/>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0"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124" w:lineRule="exact"/>
        <w:rPr>
          <w:sz w:val="24"/>
          <w:szCs w:val="24"/>
          <w:color w:val="auto"/>
        </w:rPr>
      </w:pPr>
    </w:p>
    <w:p>
      <w:pPr>
        <w:ind w:left="520" w:hanging="291"/>
        <w:spacing w:after="0"/>
        <w:tabs>
          <w:tab w:leader="none" w:pos="5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32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10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Commission File Number: 001-35039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BankUnited,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927" w:right="339" w:bottom="1440" w:gutter="0" w:footer="0" w:header="0"/>
        </w:sectPr>
      </w:pPr>
    </w:p>
    <w:p>
      <w:pPr>
        <w:spacing w:after="0" w:line="2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27-0162450</w:t>
      </w:r>
    </w:p>
    <w:p>
      <w:pPr>
        <w:spacing w:after="0" w:line="38" w:lineRule="exact"/>
        <w:rPr>
          <w:sz w:val="24"/>
          <w:szCs w:val="24"/>
          <w:color w:val="auto"/>
        </w:rPr>
      </w:pPr>
    </w:p>
    <w:p>
      <w:pPr>
        <w:sectPr>
          <w:pgSz w:w="11900" w:h="16838" w:orient="portrait"/>
          <w:cols w:equalWidth="0" w:num="2">
            <w:col w:w="7000" w:space="720"/>
            <w:col w:w="3520"/>
          </w:cols>
          <w:pgMar w:left="320" w:top="927"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52" w:lineRule="exact"/>
        <w:rPr>
          <w:sz w:val="24"/>
          <w:szCs w:val="24"/>
          <w:color w:val="auto"/>
        </w:rPr>
      </w:pPr>
    </w:p>
    <w:p>
      <w:pPr>
        <w:sectPr>
          <w:pgSz w:w="11900" w:h="16838" w:orient="portrait"/>
          <w:cols w:equalWidth="0" w:num="2">
            <w:col w:w="6320" w:space="720"/>
            <w:col w:w="4200"/>
          </w:cols>
          <w:pgMar w:left="320" w:top="927" w:right="33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3"/>
          <w:szCs w:val="13"/>
          <w:b w:val="1"/>
          <w:bCs w:val="1"/>
          <w:color w:val="auto"/>
        </w:rPr>
        <w:t>14817 Oak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Miami Lakes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33016</w:t>
      </w:r>
    </w:p>
    <w:p>
      <w:pPr>
        <w:spacing w:after="0" w:line="49" w:lineRule="exact"/>
        <w:rPr>
          <w:sz w:val="24"/>
          <w:szCs w:val="24"/>
          <w:color w:val="auto"/>
        </w:rPr>
      </w:pPr>
    </w:p>
    <w:p>
      <w:pPr>
        <w:sectPr>
          <w:pgSz w:w="11900" w:h="16838" w:orient="portrait"/>
          <w:cols w:equalWidth="0" w:num="4">
            <w:col w:w="2580" w:space="720"/>
            <w:col w:w="800" w:space="480"/>
            <w:col w:w="2760" w:space="720"/>
            <w:col w:w="3180"/>
          </w:cols>
          <w:pgMar w:left="320" w:top="927"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200" w:space="720"/>
            <w:col w:w="3320"/>
          </w:cols>
          <w:pgMar w:left="320" w:top="927" w:right="339" w:bottom="1440" w:gutter="0" w:footer="0" w:header="0"/>
          <w:type w:val="continuous"/>
        </w:sectPr>
      </w:pPr>
    </w:p>
    <w:p>
      <w:pPr>
        <w:spacing w:after="0" w:line="1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(305) 569-2000</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3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3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Exchange on Which Registered</w:t>
            </w:r>
          </w:p>
        </w:tc>
      </w:tr>
      <w:tr>
        <w:trPr>
          <w:trHeight w:val="24"/>
        </w:trPr>
        <w:tc>
          <w:tcPr>
            <w:tcW w:w="32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176"/>
        </w:trPr>
        <w:tc>
          <w:tcPr>
            <w:tcW w:w="32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Common Stock, $0.01 Par Value</w:t>
            </w:r>
          </w:p>
        </w:tc>
        <w:tc>
          <w:tcPr>
            <w:tcW w:w="38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BKU</w:t>
            </w:r>
          </w:p>
        </w:tc>
        <w:tc>
          <w:tcPr>
            <w:tcW w:w="380" w:type="dxa"/>
            <w:vAlign w:val="bottom"/>
          </w:tcPr>
          <w:p>
            <w:pPr>
              <w:spacing w:after="0"/>
              <w:rPr>
                <w:sz w:val="15"/>
                <w:szCs w:val="15"/>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280"/>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2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pacing w:after="0" w:line="49" w:lineRule="exact"/>
        <w:rPr>
          <w:sz w:val="24"/>
          <w:szCs w:val="24"/>
          <w:color w:val="auto"/>
        </w:rPr>
      </w:pPr>
    </w:p>
    <w:p>
      <w:pPr>
        <w:ind w:right="3760"/>
        <w:spacing w:after="0" w:line="243"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right="240"/>
        <w:spacing w:after="0" w:line="25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1" w:lineRule="exact"/>
        <w:rPr>
          <w:sz w:val="24"/>
          <w:szCs w:val="24"/>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7" w:right="339" w:bottom="1440" w:gutter="0" w:footer="0" w:header="0"/>
          <w:type w:val="continuous"/>
        </w:sectPr>
      </w:pPr>
    </w:p>
    <w:p>
      <w:pPr>
        <w:spacing w:after="0" w:line="88"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6" w:lineRule="exact"/>
        <w:rPr>
          <w:sz w:val="24"/>
          <w:szCs w:val="24"/>
          <w:color w:val="auto"/>
        </w:rPr>
      </w:pPr>
    </w:p>
    <w:p>
      <w:pPr>
        <w:sectPr>
          <w:pgSz w:w="11900" w:h="16838" w:orient="portrait"/>
          <w:cols w:equalWidth="0" w:num="6">
            <w:col w:w="2900" w:space="720"/>
            <w:col w:w="700" w:space="720"/>
            <w:col w:w="1520" w:space="720"/>
            <w:col w:w="400" w:space="720"/>
            <w:col w:w="1820" w:space="720"/>
            <w:col w:w="300"/>
          </w:cols>
          <w:pgMar w:left="320" w:top="927" w:right="339" w:bottom="1440" w:gutter="0" w:footer="0" w:header="0"/>
          <w:type w:val="continuous"/>
        </w:sectPr>
      </w:pPr>
    </w:p>
    <w:p>
      <w:pPr>
        <w:spacing w:after="0" w:line="5"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ind w:right="26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1" w:lineRule="exact"/>
        <w:rPr>
          <w:sz w:val="24"/>
          <w:szCs w:val="24"/>
          <w:color w:val="auto"/>
        </w:rPr>
      </w:pPr>
    </w:p>
    <w:p>
      <w:pPr>
        <w:sectPr>
          <w:pgSz w:w="11900" w:h="16838" w:orient="portrait"/>
          <w:cols w:equalWidth="0" w:num="4">
            <w:col w:w="2900" w:space="720"/>
            <w:col w:w="400" w:space="720"/>
            <w:col w:w="1800" w:space="720"/>
            <w:col w:w="3980"/>
          </w:cols>
          <w:pgMar w:left="320" w:top="927" w:right="339" w:bottom="1440" w:gutter="0" w:footer="0" w:header="0"/>
          <w:type w:val="continuous"/>
        </w:sectPr>
      </w:pPr>
    </w:p>
    <w:p>
      <w:pPr>
        <w:ind w:right="300"/>
        <w:spacing w:after="0" w:line="306"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6" w:lineRule="exact"/>
        <w:rPr>
          <w:sz w:val="24"/>
          <w:szCs w:val="24"/>
          <w:color w:val="auto"/>
        </w:rPr>
      </w:pPr>
    </w:p>
    <w:p>
      <w:pPr>
        <w:ind w:right="3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1" w:lineRule="exact"/>
        <w:rPr>
          <w:sz w:val="24"/>
          <w:szCs w:val="24"/>
          <w:color w:val="auto"/>
        </w:rPr>
      </w:pPr>
    </w:p>
    <w:p>
      <w:pPr>
        <w:ind w:right="420"/>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1"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4"/>
          <w:szCs w:val="14"/>
          <w:color w:val="auto"/>
        </w:rPr>
        <w:t>☐</w:t>
      </w:r>
    </w:p>
    <w:p>
      <w:pPr>
        <w:spacing w:after="0" w:line="4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on June 30, 2025 was $2,643,515,369.</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outstanding shares of the registrant common stock, $0.01 par value, as of February 24, 2026 was 73,638,610.</w:t>
      </w:r>
    </w:p>
    <w:p>
      <w:pPr>
        <w:spacing w:after="0" w:line="3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101" w:lineRule="exact"/>
        <w:rPr>
          <w:sz w:val="24"/>
          <w:szCs w:val="24"/>
          <w:color w:val="auto"/>
        </w:rPr>
      </w:pPr>
    </w:p>
    <w:p>
      <w:pPr>
        <w:jc w:val="center"/>
        <w:ind w:left="380"/>
        <w:spacing w:after="0" w:line="242" w:lineRule="auto"/>
        <w:rPr>
          <w:sz w:val="20"/>
          <w:szCs w:val="20"/>
          <w:color w:val="auto"/>
        </w:rPr>
      </w:pPr>
      <w:r>
        <w:rPr>
          <w:rFonts w:ascii="Times New Roman" w:cs="Times New Roman" w:eastAsia="Times New Roman" w:hAnsi="Times New Roman"/>
          <w:sz w:val="12"/>
          <w:szCs w:val="12"/>
          <w:color w:val="auto"/>
        </w:rPr>
        <w:t>Portions of the registrant's definitive proxy statement for the 2026 annual meeting of stockholders are incorporated by reference in this Annual Report on Form 10-K in response to Part II. Item 5 and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389890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110490</wp:posOffset>
            </wp:positionV>
            <wp:extent cx="699706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16510"/>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85090</wp:posOffset>
            </wp:positionV>
            <wp:extent cx="6997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 w:name="page2"/>
    <w:bookmarkEnd w:id="1"/>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BANKUNITED, INC.</w:t>
      </w:r>
    </w:p>
    <w:p>
      <w:pPr>
        <w:spacing w:after="0" w:line="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1"/>
            <w:vMerge w:val="restart"/>
          </w:tcPr>
          <w:p>
            <w:pPr>
              <w:jc w:val="center"/>
              <w:ind w:right="3700"/>
              <w:spacing w:after="0"/>
              <w:rPr>
                <w:sz w:val="20"/>
                <w:szCs w:val="20"/>
                <w:color w:val="auto"/>
              </w:rPr>
            </w:pPr>
            <w:r>
              <w:rPr>
                <w:rFonts w:ascii="Times New Roman" w:cs="Times New Roman" w:eastAsia="Times New Roman" w:hAnsi="Times New Roman"/>
                <w:sz w:val="18"/>
                <w:szCs w:val="18"/>
                <w:color w:val="0000FF"/>
                <w:w w:val="91"/>
              </w:rPr>
              <w:t>PART I</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00" w:type="dxa"/>
            <w:vAlign w:val="bottom"/>
            <w:gridSpan w:val="11"/>
            <w:vMerge w:val="continue"/>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 w:type="dxa"/>
            <w:vAlign w:val="bottom"/>
            <w:tcBorders>
              <w:bottom w:val="single" w:sz="8" w:color="0000FF"/>
            </w:tcBorders>
          </w:tcPr>
          <w:p>
            <w:pPr>
              <w:spacing w:after="0" w:line="203" w:lineRule="exact"/>
              <w:rPr>
                <w:sz w:val="20"/>
                <w:szCs w:val="20"/>
                <w:color w:val="auto"/>
              </w:rPr>
            </w:pPr>
            <w:r>
              <w:rPr>
                <w:rFonts w:ascii="Times New Roman" w:cs="Times New Roman" w:eastAsia="Times New Roman" w:hAnsi="Times New Roman"/>
                <w:sz w:val="18"/>
                <w:szCs w:val="18"/>
                <w:color w:val="0000FF"/>
                <w:w w:val="94"/>
              </w:rPr>
              <w:t>Item 1.</w:t>
            </w:r>
          </w:p>
        </w:tc>
        <w:tc>
          <w:tcPr>
            <w:tcW w:w="620" w:type="dxa"/>
            <w:vAlign w:val="bottom"/>
            <w:gridSpan w:val="2"/>
          </w:tcPr>
          <w:p>
            <w:pPr>
              <w:spacing w:after="0"/>
              <w:rPr>
                <w:sz w:val="17"/>
                <w:szCs w:val="17"/>
                <w:color w:val="auto"/>
              </w:rPr>
            </w:pPr>
          </w:p>
        </w:tc>
        <w:tc>
          <w:tcPr>
            <w:tcW w:w="640" w:type="dxa"/>
            <w:vAlign w:val="bottom"/>
            <w:tcBorders>
              <w:bottom w:val="single" w:sz="8" w:color="0000FF"/>
            </w:tcBorders>
          </w:tcPr>
          <w:p>
            <w:pPr>
              <w:spacing w:after="0" w:line="203" w:lineRule="exact"/>
              <w:rPr>
                <w:sz w:val="20"/>
                <w:szCs w:val="20"/>
                <w:color w:val="auto"/>
              </w:rPr>
            </w:pPr>
            <w:r>
              <w:rPr>
                <w:rFonts w:ascii="Times New Roman" w:cs="Times New Roman" w:eastAsia="Times New Roman" w:hAnsi="Times New Roman"/>
                <w:sz w:val="18"/>
                <w:szCs w:val="18"/>
                <w:color w:val="0000FF"/>
                <w:w w:val="96"/>
              </w:rPr>
              <w:t>Business</w:t>
            </w:r>
          </w:p>
        </w:tc>
        <w:tc>
          <w:tcPr>
            <w:tcW w:w="3820" w:type="dxa"/>
            <w:vAlign w:val="bottom"/>
            <w:gridSpan w:val="16"/>
          </w:tcPr>
          <w:p>
            <w:pPr>
              <w:spacing w:after="0"/>
              <w:rPr>
                <w:sz w:val="17"/>
                <w:szCs w:val="17"/>
                <w:color w:val="auto"/>
              </w:rPr>
            </w:pPr>
          </w:p>
        </w:tc>
        <w:tc>
          <w:tcPr>
            <w:tcW w:w="520" w:type="dxa"/>
            <w:vAlign w:val="bottom"/>
            <w:tcBorders>
              <w:top w:val="single" w:sz="8" w:color="0000FF"/>
            </w:tcBorders>
            <w:gridSpan w:val="2"/>
          </w:tcPr>
          <w:p>
            <w:pPr>
              <w:spacing w:after="0"/>
              <w:rPr>
                <w:sz w:val="17"/>
                <w:szCs w:val="17"/>
                <w:color w:val="auto"/>
              </w:rPr>
            </w:pPr>
          </w:p>
        </w:tc>
        <w:tc>
          <w:tcPr>
            <w:tcW w:w="3740" w:type="dxa"/>
            <w:vAlign w:val="bottom"/>
            <w:gridSpan w:val="8"/>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84"/>
              </w:rPr>
              <w:t>Item 1A.</w:t>
            </w:r>
          </w:p>
        </w:tc>
        <w:tc>
          <w:tcPr>
            <w:tcW w:w="540" w:type="dxa"/>
            <w:vAlign w:val="bottom"/>
          </w:tcPr>
          <w:p>
            <w:pPr>
              <w:spacing w:after="0"/>
              <w:rPr>
                <w:sz w:val="17"/>
                <w:szCs w:val="17"/>
                <w:color w:val="auto"/>
              </w:rPr>
            </w:pPr>
          </w:p>
        </w:tc>
        <w:tc>
          <w:tcPr>
            <w:tcW w:w="8720" w:type="dxa"/>
            <w:vAlign w:val="bottom"/>
            <w:gridSpan w:val="27"/>
          </w:tcPr>
          <w:p>
            <w:pPr>
              <w:spacing w:after="0" w:line="203" w:lineRule="exact"/>
              <w:rPr>
                <w:sz w:val="20"/>
                <w:szCs w:val="20"/>
                <w:color w:val="auto"/>
              </w:rPr>
            </w:pPr>
            <w:r>
              <w:rPr>
                <w:rFonts w:ascii="Times New Roman" w:cs="Times New Roman" w:eastAsia="Times New Roman" w:hAnsi="Times New Roman"/>
                <w:sz w:val="18"/>
                <w:szCs w:val="18"/>
                <w:color w:val="0000FF"/>
              </w:rPr>
              <w:t>Risk Factors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Borders>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85"/>
              </w:rPr>
              <w:t>Item 1B.</w:t>
            </w:r>
          </w:p>
        </w:tc>
        <w:tc>
          <w:tcPr>
            <w:tcW w:w="540" w:type="dxa"/>
            <w:vAlign w:val="bottom"/>
          </w:tcPr>
          <w:p>
            <w:pPr>
              <w:spacing w:after="0"/>
              <w:rPr>
                <w:sz w:val="17"/>
                <w:szCs w:val="17"/>
                <w:color w:val="auto"/>
              </w:rPr>
            </w:pPr>
          </w:p>
        </w:tc>
        <w:tc>
          <w:tcPr>
            <w:tcW w:w="2000" w:type="dxa"/>
            <w:vAlign w:val="bottom"/>
            <w:tcBorders>
              <w:bottom w:val="single" w:sz="8" w:color="0000FF"/>
            </w:tcBorders>
            <w:gridSpan w:val="9"/>
          </w:tcPr>
          <w:p>
            <w:pPr>
              <w:spacing w:after="0" w:line="203"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6720" w:type="dxa"/>
            <w:vAlign w:val="bottom"/>
            <w:gridSpan w:val="18"/>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85"/>
              </w:rPr>
              <w:t>Item 1C.</w:t>
            </w:r>
          </w:p>
        </w:tc>
        <w:tc>
          <w:tcPr>
            <w:tcW w:w="540" w:type="dxa"/>
            <w:vAlign w:val="bottom"/>
          </w:tcPr>
          <w:p>
            <w:pPr>
              <w:spacing w:after="0"/>
              <w:rPr>
                <w:sz w:val="17"/>
                <w:szCs w:val="17"/>
                <w:color w:val="auto"/>
              </w:rPr>
            </w:pPr>
          </w:p>
        </w:tc>
        <w:tc>
          <w:tcPr>
            <w:tcW w:w="1000" w:type="dxa"/>
            <w:vAlign w:val="bottom"/>
            <w:tcBorders>
              <w:bottom w:val="single" w:sz="8" w:color="0000FF"/>
            </w:tcBorders>
            <w:gridSpan w:val="5"/>
          </w:tcPr>
          <w:p>
            <w:pPr>
              <w:spacing w:after="0" w:line="203" w:lineRule="exact"/>
              <w:rPr>
                <w:sz w:val="20"/>
                <w:szCs w:val="20"/>
                <w:color w:val="auto"/>
              </w:rPr>
            </w:pPr>
            <w:r>
              <w:rPr>
                <w:rFonts w:ascii="Times New Roman" w:cs="Times New Roman" w:eastAsia="Times New Roman" w:hAnsi="Times New Roman"/>
                <w:sz w:val="18"/>
                <w:szCs w:val="18"/>
                <w:color w:val="0000FF"/>
                <w:w w:val="96"/>
              </w:rPr>
              <w:t>Cybersecurity</w:t>
            </w:r>
          </w:p>
        </w:tc>
        <w:tc>
          <w:tcPr>
            <w:tcW w:w="7720" w:type="dxa"/>
            <w:vAlign w:val="bottom"/>
            <w:gridSpan w:val="22"/>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 w:type="dxa"/>
            <w:vAlign w:val="bottom"/>
            <w:tcBorders>
              <w:bottom w:val="single" w:sz="8" w:color="0000FF"/>
            </w:tcBorders>
          </w:tcPr>
          <w:p>
            <w:pPr>
              <w:spacing w:after="0" w:line="203" w:lineRule="exact"/>
              <w:rPr>
                <w:sz w:val="20"/>
                <w:szCs w:val="20"/>
                <w:color w:val="auto"/>
              </w:rPr>
            </w:pPr>
            <w:r>
              <w:rPr>
                <w:rFonts w:ascii="Times New Roman" w:cs="Times New Roman" w:eastAsia="Times New Roman" w:hAnsi="Times New Roman"/>
                <w:sz w:val="18"/>
                <w:szCs w:val="18"/>
                <w:color w:val="0000FF"/>
                <w:w w:val="94"/>
              </w:rPr>
              <w:t>Item 2.</w:t>
            </w:r>
          </w:p>
        </w:tc>
        <w:tc>
          <w:tcPr>
            <w:tcW w:w="620" w:type="dxa"/>
            <w:vAlign w:val="bottom"/>
            <w:gridSpan w:val="2"/>
          </w:tcPr>
          <w:p>
            <w:pPr>
              <w:spacing w:after="0"/>
              <w:rPr>
                <w:sz w:val="17"/>
                <w:szCs w:val="17"/>
                <w:color w:val="auto"/>
              </w:rPr>
            </w:pPr>
          </w:p>
        </w:tc>
        <w:tc>
          <w:tcPr>
            <w:tcW w:w="740" w:type="dxa"/>
            <w:vAlign w:val="bottom"/>
            <w:tcBorders>
              <w:bottom w:val="single" w:sz="8" w:color="0000FF"/>
            </w:tcBorders>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95"/>
              </w:rPr>
              <w:t>Properties</w:t>
            </w:r>
          </w:p>
        </w:tc>
        <w:tc>
          <w:tcPr>
            <w:tcW w:w="7980" w:type="dxa"/>
            <w:vAlign w:val="bottom"/>
            <w:gridSpan w:val="24"/>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0000FF"/>
                <w:w w:val="94"/>
              </w:rPr>
              <w:t>Item 3.</w:t>
            </w:r>
          </w:p>
        </w:tc>
        <w:tc>
          <w:tcPr>
            <w:tcW w:w="620" w:type="dxa"/>
            <w:vAlign w:val="bottom"/>
            <w:gridSpan w:val="2"/>
          </w:tcPr>
          <w:p>
            <w:pPr>
              <w:spacing w:after="0"/>
              <w:rPr>
                <w:sz w:val="17"/>
                <w:szCs w:val="17"/>
                <w:color w:val="auto"/>
              </w:rPr>
            </w:pPr>
          </w:p>
        </w:tc>
        <w:tc>
          <w:tcPr>
            <w:tcW w:w="8720" w:type="dxa"/>
            <w:vAlign w:val="bottom"/>
            <w:gridSpan w:val="27"/>
          </w:tcPr>
          <w:p>
            <w:pPr>
              <w:spacing w:after="0" w:line="203" w:lineRule="exact"/>
              <w:rPr>
                <w:sz w:val="20"/>
                <w:szCs w:val="20"/>
                <w:color w:val="auto"/>
              </w:rPr>
            </w:pPr>
            <w:r>
              <w:rPr>
                <w:rFonts w:ascii="Times New Roman" w:cs="Times New Roman" w:eastAsia="Times New Roman" w:hAnsi="Times New Roman"/>
                <w:sz w:val="18"/>
                <w:szCs w:val="18"/>
                <w:color w:val="0000FF"/>
              </w:rPr>
              <w:t>Legal Proceedings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0000FF"/>
                <w:w w:val="94"/>
              </w:rPr>
              <w:t>Item 4.</w:t>
            </w:r>
          </w:p>
        </w:tc>
        <w:tc>
          <w:tcPr>
            <w:tcW w:w="620" w:type="dxa"/>
            <w:vAlign w:val="bottom"/>
            <w:gridSpan w:val="2"/>
          </w:tcPr>
          <w:p>
            <w:pPr>
              <w:spacing w:after="0"/>
              <w:rPr>
                <w:sz w:val="17"/>
                <w:szCs w:val="17"/>
                <w:color w:val="auto"/>
              </w:rPr>
            </w:pPr>
          </w:p>
        </w:tc>
        <w:tc>
          <w:tcPr>
            <w:tcW w:w="8720" w:type="dxa"/>
            <w:vAlign w:val="bottom"/>
            <w:gridSpan w:val="27"/>
          </w:tcPr>
          <w:p>
            <w:pPr>
              <w:spacing w:after="0" w:line="203" w:lineRule="exact"/>
              <w:rPr>
                <w:sz w:val="20"/>
                <w:szCs w:val="20"/>
                <w:color w:val="auto"/>
              </w:rPr>
            </w:pPr>
            <w:r>
              <w:rPr>
                <w:rFonts w:ascii="Times New Roman" w:cs="Times New Roman" w:eastAsia="Times New Roman" w:hAnsi="Times New Roman"/>
                <w:sz w:val="18"/>
                <w:szCs w:val="18"/>
                <w:color w:val="0000FF"/>
              </w:rPr>
              <w:t>Mine Safety Disclosures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11"/>
          </w:tcPr>
          <w:p>
            <w:pPr>
              <w:jc w:val="center"/>
              <w:ind w:right="3720"/>
              <w:spacing w:after="0" w:line="203" w:lineRule="exact"/>
              <w:rPr>
                <w:sz w:val="20"/>
                <w:szCs w:val="20"/>
                <w:color w:val="auto"/>
              </w:rPr>
            </w:pPr>
            <w:r>
              <w:rPr>
                <w:rFonts w:ascii="Times New Roman" w:cs="Times New Roman" w:eastAsia="Times New Roman" w:hAnsi="Times New Roman"/>
                <w:sz w:val="18"/>
                <w:szCs w:val="18"/>
                <w:color w:val="0000FF"/>
                <w:w w:val="92"/>
              </w:rPr>
              <w:t>PART II</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Borders>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rPr>
              <w:t>Item 5.</w:t>
            </w:r>
          </w:p>
        </w:tc>
        <w:tc>
          <w:tcPr>
            <w:tcW w:w="540" w:type="dxa"/>
            <w:vAlign w:val="bottom"/>
          </w:tcPr>
          <w:p>
            <w:pPr>
              <w:spacing w:after="0"/>
              <w:rPr>
                <w:sz w:val="17"/>
                <w:szCs w:val="17"/>
                <w:color w:val="auto"/>
              </w:rPr>
            </w:pPr>
          </w:p>
        </w:tc>
        <w:tc>
          <w:tcPr>
            <w:tcW w:w="7860" w:type="dxa"/>
            <w:vAlign w:val="bottom"/>
            <w:tcBorders>
              <w:bottom w:val="single" w:sz="8" w:color="0000FF"/>
            </w:tcBorders>
            <w:gridSpan w:val="26"/>
          </w:tcPr>
          <w:p>
            <w:pPr>
              <w:spacing w:after="0" w:line="203" w:lineRule="exact"/>
              <w:rPr>
                <w:sz w:val="20"/>
                <w:szCs w:val="20"/>
                <w:color w:val="auto"/>
              </w:rPr>
            </w:pPr>
            <w:r>
              <w:rPr>
                <w:rFonts w:ascii="Times New Roman" w:cs="Times New Roman" w:eastAsia="Times New Roman" w:hAnsi="Times New Roman"/>
                <w:sz w:val="18"/>
                <w:szCs w:val="18"/>
                <w:color w:val="0000FF"/>
                <w:w w:val="97"/>
              </w:rPr>
              <w:t>Market for Registrant's Common Equity, Related Stockholder Matters and Issuer Purchases of Equity Securities</w:t>
            </w: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0000FF"/>
                <w:w w:val="94"/>
              </w:rPr>
              <w:t>Item 6.</w:t>
            </w:r>
          </w:p>
        </w:tc>
        <w:tc>
          <w:tcPr>
            <w:tcW w:w="620" w:type="dxa"/>
            <w:vAlign w:val="bottom"/>
            <w:gridSpan w:val="2"/>
          </w:tcPr>
          <w:p>
            <w:pPr>
              <w:spacing w:after="0"/>
              <w:rPr>
                <w:sz w:val="17"/>
                <w:szCs w:val="17"/>
                <w:color w:val="auto"/>
              </w:rPr>
            </w:pPr>
          </w:p>
        </w:tc>
        <w:tc>
          <w:tcPr>
            <w:tcW w:w="8720" w:type="dxa"/>
            <w:vAlign w:val="bottom"/>
            <w:gridSpan w:val="27"/>
          </w:tcPr>
          <w:p>
            <w:pPr>
              <w:spacing w:after="0" w:line="203" w:lineRule="exact"/>
              <w:rPr>
                <w:sz w:val="20"/>
                <w:szCs w:val="20"/>
                <w:color w:val="auto"/>
              </w:rPr>
            </w:pPr>
            <w:r>
              <w:rPr>
                <w:rFonts w:ascii="Times New Roman" w:cs="Times New Roman" w:eastAsia="Times New Roman" w:hAnsi="Times New Roman"/>
                <w:sz w:val="18"/>
                <w:szCs w:val="18"/>
                <w:color w:val="0000FF"/>
              </w:rPr>
              <w:t>Reserved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Borders>
              <w:bottom w:val="single" w:sz="8" w:color="0000FF"/>
            </w:tcBorders>
          </w:tcPr>
          <w:p>
            <w:pPr>
              <w:spacing w:after="0" w:line="203" w:lineRule="exact"/>
              <w:rPr>
                <w:sz w:val="20"/>
                <w:szCs w:val="20"/>
                <w:color w:val="auto"/>
              </w:rPr>
            </w:pPr>
            <w:r>
              <w:rPr>
                <w:rFonts w:ascii="Times New Roman" w:cs="Times New Roman" w:eastAsia="Times New Roman" w:hAnsi="Times New Roman"/>
                <w:sz w:val="18"/>
                <w:szCs w:val="18"/>
                <w:color w:val="0000FF"/>
                <w:w w:val="94"/>
              </w:rPr>
              <w:t>Item 7.</w:t>
            </w:r>
          </w:p>
        </w:tc>
        <w:tc>
          <w:tcPr>
            <w:tcW w:w="80" w:type="dxa"/>
            <w:vAlign w:val="bottom"/>
            <w:tcBorders>
              <w:bottom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6280" w:type="dxa"/>
            <w:vAlign w:val="bottom"/>
            <w:tcBorders>
              <w:bottom w:val="single" w:sz="8" w:color="0000FF"/>
            </w:tcBorders>
            <w:gridSpan w:val="23"/>
          </w:tcPr>
          <w:p>
            <w:pPr>
              <w:spacing w:after="0" w:line="203"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44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Borders>
              <w:bottom w:val="single" w:sz="8" w:color="0000FF"/>
            </w:tcBorders>
            <w:gridSpan w:val="3"/>
          </w:tcPr>
          <w:p>
            <w:pPr>
              <w:spacing w:after="0" w:line="203" w:lineRule="exact"/>
              <w:rPr>
                <w:sz w:val="20"/>
                <w:szCs w:val="20"/>
                <w:color w:val="auto"/>
              </w:rPr>
            </w:pPr>
            <w:r>
              <w:rPr>
                <w:rFonts w:ascii="Times New Roman" w:cs="Times New Roman" w:eastAsia="Times New Roman" w:hAnsi="Times New Roman"/>
                <w:sz w:val="18"/>
                <w:szCs w:val="18"/>
                <w:color w:val="0000FF"/>
              </w:rPr>
              <w:t>Item 7A.</w:t>
            </w:r>
          </w:p>
        </w:tc>
        <w:tc>
          <w:tcPr>
            <w:tcW w:w="4260" w:type="dxa"/>
            <w:vAlign w:val="bottom"/>
            <w:tcBorders>
              <w:bottom w:val="single" w:sz="8" w:color="0000FF"/>
            </w:tcBorders>
            <w:gridSpan w:val="14"/>
          </w:tcPr>
          <w:p>
            <w:pPr>
              <w:spacing w:after="0" w:line="203"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460" w:type="dxa"/>
            <w:vAlign w:val="bottom"/>
            <w:gridSpan w:val="13"/>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0000FF"/>
                <w:w w:val="94"/>
              </w:rPr>
              <w:t>Item 8.</w:t>
            </w:r>
          </w:p>
        </w:tc>
        <w:tc>
          <w:tcPr>
            <w:tcW w:w="620" w:type="dxa"/>
            <w:vAlign w:val="bottom"/>
            <w:gridSpan w:val="2"/>
          </w:tcPr>
          <w:p>
            <w:pPr>
              <w:spacing w:after="0"/>
              <w:rPr>
                <w:sz w:val="17"/>
                <w:szCs w:val="17"/>
                <w:color w:val="auto"/>
              </w:rPr>
            </w:pPr>
          </w:p>
        </w:tc>
        <w:tc>
          <w:tcPr>
            <w:tcW w:w="8720" w:type="dxa"/>
            <w:vAlign w:val="bottom"/>
            <w:gridSpan w:val="27"/>
          </w:tcPr>
          <w:p>
            <w:pPr>
              <w:spacing w:after="0" w:line="203"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Borders>
              <w:bottom w:val="single" w:sz="8" w:color="0000FF"/>
            </w:tcBorders>
          </w:tcPr>
          <w:p>
            <w:pPr>
              <w:spacing w:after="0" w:line="203" w:lineRule="exact"/>
              <w:rPr>
                <w:sz w:val="20"/>
                <w:szCs w:val="20"/>
                <w:color w:val="auto"/>
              </w:rPr>
            </w:pPr>
            <w:r>
              <w:rPr>
                <w:rFonts w:ascii="Times New Roman" w:cs="Times New Roman" w:eastAsia="Times New Roman" w:hAnsi="Times New Roman"/>
                <w:sz w:val="18"/>
                <w:szCs w:val="18"/>
                <w:color w:val="0000FF"/>
                <w:w w:val="94"/>
              </w:rPr>
              <w:t>Item 9.</w:t>
            </w:r>
          </w:p>
        </w:tc>
        <w:tc>
          <w:tcPr>
            <w:tcW w:w="620" w:type="dxa"/>
            <w:vAlign w:val="bottom"/>
            <w:gridSpan w:val="2"/>
          </w:tcPr>
          <w:p>
            <w:pPr>
              <w:spacing w:after="0"/>
              <w:rPr>
                <w:sz w:val="17"/>
                <w:szCs w:val="17"/>
                <w:color w:val="auto"/>
              </w:rPr>
            </w:pPr>
          </w:p>
        </w:tc>
        <w:tc>
          <w:tcPr>
            <w:tcW w:w="6320" w:type="dxa"/>
            <w:vAlign w:val="bottom"/>
            <w:tcBorders>
              <w:bottom w:val="single" w:sz="8" w:color="0000FF"/>
            </w:tcBorders>
            <w:gridSpan w:val="24"/>
          </w:tcPr>
          <w:p>
            <w:pPr>
              <w:spacing w:after="0" w:line="203" w:lineRule="exact"/>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2400" w:type="dxa"/>
            <w:vAlign w:val="bottom"/>
            <w:gridSpan w:val="3"/>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0000FF"/>
              </w:rPr>
              <w:t>1</w:t>
            </w:r>
          </w:p>
        </w:tc>
        <w:tc>
          <w:tcPr>
            <w:tcW w:w="0" w:type="dxa"/>
            <w:vAlign w:val="bottom"/>
          </w:tcPr>
          <w:p>
            <w:pPr>
              <w:spacing w:after="0"/>
              <w:rPr>
                <w:sz w:val="1"/>
                <w:szCs w:val="1"/>
                <w:color w:val="auto"/>
              </w:rPr>
            </w:pPr>
          </w:p>
        </w:tc>
      </w:tr>
      <w:tr>
        <w:trPr>
          <w:trHeight w:val="203"/>
        </w:trPr>
        <w:tc>
          <w:tcPr>
            <w:tcW w:w="580" w:type="dxa"/>
            <w:vAlign w:val="bottom"/>
            <w:tcBorders>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84"/>
              </w:rPr>
              <w:t>Item 9A.</w:t>
            </w:r>
          </w:p>
        </w:tc>
        <w:tc>
          <w:tcPr>
            <w:tcW w:w="540" w:type="dxa"/>
            <w:vAlign w:val="bottom"/>
          </w:tcPr>
          <w:p>
            <w:pPr>
              <w:spacing w:after="0"/>
              <w:rPr>
                <w:sz w:val="17"/>
                <w:szCs w:val="17"/>
                <w:color w:val="auto"/>
              </w:rPr>
            </w:pPr>
          </w:p>
        </w:tc>
        <w:tc>
          <w:tcPr>
            <w:tcW w:w="1740" w:type="dxa"/>
            <w:vAlign w:val="bottom"/>
            <w:tcBorders>
              <w:bottom w:val="single" w:sz="8" w:color="0000FF"/>
            </w:tcBorders>
            <w:gridSpan w:val="7"/>
          </w:tcPr>
          <w:p>
            <w:pPr>
              <w:spacing w:after="0" w:line="203"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6980" w:type="dxa"/>
            <w:vAlign w:val="bottom"/>
            <w:gridSpan w:val="20"/>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0000FF"/>
              </w:rPr>
              <w:t>1</w:t>
            </w:r>
          </w:p>
        </w:tc>
        <w:tc>
          <w:tcPr>
            <w:tcW w:w="0" w:type="dxa"/>
            <w:vAlign w:val="bottom"/>
          </w:tcPr>
          <w:p>
            <w:pPr>
              <w:spacing w:after="0"/>
              <w:rPr>
                <w:sz w:val="1"/>
                <w:szCs w:val="1"/>
                <w:color w:val="auto"/>
              </w:rPr>
            </w:pPr>
          </w:p>
        </w:tc>
      </w:tr>
      <w:tr>
        <w:trPr>
          <w:trHeight w:val="203"/>
        </w:trPr>
        <w:tc>
          <w:tcPr>
            <w:tcW w:w="5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85"/>
              </w:rPr>
              <w:t>Item 9B.</w:t>
            </w:r>
          </w:p>
        </w:tc>
        <w:tc>
          <w:tcPr>
            <w:tcW w:w="540" w:type="dxa"/>
            <w:vAlign w:val="bottom"/>
          </w:tcPr>
          <w:p>
            <w:pPr>
              <w:spacing w:after="0"/>
              <w:rPr>
                <w:sz w:val="17"/>
                <w:szCs w:val="17"/>
                <w:color w:val="auto"/>
              </w:rPr>
            </w:pPr>
          </w:p>
        </w:tc>
        <w:tc>
          <w:tcPr>
            <w:tcW w:w="8720" w:type="dxa"/>
            <w:vAlign w:val="bottom"/>
            <w:gridSpan w:val="27"/>
          </w:tcPr>
          <w:p>
            <w:pPr>
              <w:spacing w:after="0" w:line="203" w:lineRule="exact"/>
              <w:rPr>
                <w:sz w:val="20"/>
                <w:szCs w:val="20"/>
                <w:color w:val="auto"/>
              </w:rPr>
            </w:pPr>
            <w:r>
              <w:rPr>
                <w:rFonts w:ascii="Times New Roman" w:cs="Times New Roman" w:eastAsia="Times New Roman" w:hAnsi="Times New Roman"/>
                <w:sz w:val="18"/>
                <w:szCs w:val="18"/>
                <w:color w:val="0000FF"/>
              </w:rPr>
              <w:t>Other Information</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0000FF"/>
              </w:rPr>
              <w:t>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Borders>
              <w:bottom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85"/>
              </w:rPr>
              <w:t>Item 9C.</w:t>
            </w:r>
          </w:p>
        </w:tc>
        <w:tc>
          <w:tcPr>
            <w:tcW w:w="540" w:type="dxa"/>
            <w:vAlign w:val="bottom"/>
          </w:tcPr>
          <w:p>
            <w:pPr>
              <w:spacing w:after="0"/>
              <w:rPr>
                <w:sz w:val="17"/>
                <w:szCs w:val="17"/>
                <w:color w:val="auto"/>
              </w:rPr>
            </w:pPr>
          </w:p>
        </w:tc>
        <w:tc>
          <w:tcPr>
            <w:tcW w:w="4780" w:type="dxa"/>
            <w:vAlign w:val="bottom"/>
            <w:tcBorders>
              <w:bottom w:val="single" w:sz="8" w:color="0000FF"/>
            </w:tcBorders>
            <w:gridSpan w:val="18"/>
          </w:tcPr>
          <w:p>
            <w:pPr>
              <w:spacing w:after="0" w:line="203" w:lineRule="exact"/>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3940" w:type="dxa"/>
            <w:vAlign w:val="bottom"/>
            <w:gridSpan w:val="9"/>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0000FF"/>
              </w:rPr>
              <w:t>1</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bottom w:val="single" w:sz="8" w:color="0000FF"/>
            </w:tcBorders>
            <w:gridSpan w:val="6"/>
          </w:tcPr>
          <w:p>
            <w:pPr>
              <w:jc w:val="center"/>
              <w:spacing w:after="0" w:line="203" w:lineRule="exact"/>
              <w:rPr>
                <w:sz w:val="20"/>
                <w:szCs w:val="20"/>
                <w:color w:val="auto"/>
              </w:rPr>
            </w:pPr>
            <w:r>
              <w:rPr>
                <w:rFonts w:ascii="Times New Roman" w:cs="Times New Roman" w:eastAsia="Times New Roman" w:hAnsi="Times New Roman"/>
                <w:sz w:val="18"/>
                <w:szCs w:val="18"/>
                <w:color w:val="0000FF"/>
                <w:w w:val="93"/>
              </w:rPr>
              <w:t>PART III</w:t>
            </w:r>
          </w:p>
        </w:tc>
        <w:tc>
          <w:tcPr>
            <w:tcW w:w="3680" w:type="dxa"/>
            <w:vAlign w:val="bottom"/>
            <w:gridSpan w:val="6"/>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rPr>
              <w:t>Item 10.</w:t>
            </w:r>
          </w:p>
        </w:tc>
        <w:tc>
          <w:tcPr>
            <w:tcW w:w="8720" w:type="dxa"/>
            <w:vAlign w:val="bottom"/>
            <w:gridSpan w:val="27"/>
          </w:tcPr>
          <w:p>
            <w:pPr>
              <w:spacing w:after="0" w:line="203"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0000FF"/>
              </w:rPr>
              <w:t>1</w:t>
            </w:r>
          </w:p>
        </w:tc>
        <w:tc>
          <w:tcPr>
            <w:tcW w:w="0" w:type="dxa"/>
            <w:vAlign w:val="bottom"/>
          </w:tcPr>
          <w:p>
            <w:pPr>
              <w:spacing w:after="0"/>
              <w:rPr>
                <w:sz w:val="1"/>
                <w:szCs w:val="1"/>
                <w:color w:val="auto"/>
              </w:rPr>
            </w:pPr>
          </w:p>
        </w:tc>
      </w:tr>
      <w:tr>
        <w:trPr>
          <w:trHeight w:val="203"/>
        </w:trPr>
        <w:tc>
          <w:tcPr>
            <w:tcW w:w="580" w:type="dxa"/>
            <w:vAlign w:val="bottom"/>
            <w:tcBorders>
              <w:top w:val="single" w:sz="8" w:color="0000FF"/>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FF"/>
                <w:w w:val="89"/>
              </w:rPr>
              <w:t>Item 11.</w:t>
            </w:r>
          </w:p>
        </w:tc>
        <w:tc>
          <w:tcPr>
            <w:tcW w:w="540" w:type="dxa"/>
            <w:vAlign w:val="bottom"/>
          </w:tcPr>
          <w:p>
            <w:pPr>
              <w:spacing w:after="0"/>
              <w:rPr>
                <w:sz w:val="17"/>
                <w:szCs w:val="17"/>
                <w:color w:val="auto"/>
              </w:rPr>
            </w:pPr>
          </w:p>
        </w:tc>
        <w:tc>
          <w:tcPr>
            <w:tcW w:w="4000" w:type="dxa"/>
            <w:vAlign w:val="bottom"/>
            <w:tcBorders>
              <w:top w:val="single" w:sz="8" w:color="0000FF"/>
            </w:tcBorders>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Executive Compensation</w:t>
            </w:r>
          </w:p>
        </w:tc>
        <w:tc>
          <w:tcPr>
            <w:tcW w:w="4720" w:type="dxa"/>
            <w:vAlign w:val="bottom"/>
            <w:gridSpan w:val="14"/>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0000FF"/>
              </w:rPr>
              <w:t>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rPr>
              <w:t>Item 12.</w:t>
            </w:r>
          </w:p>
        </w:tc>
        <w:tc>
          <w:tcPr>
            <w:tcW w:w="8720" w:type="dxa"/>
            <w:vAlign w:val="bottom"/>
            <w:gridSpan w:val="27"/>
          </w:tcPr>
          <w:p>
            <w:pPr>
              <w:spacing w:after="0" w:line="203"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0000FF"/>
              </w:rPr>
              <w:t>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rPr>
              <w:t>Item 13.</w:t>
            </w:r>
          </w:p>
        </w:tc>
        <w:tc>
          <w:tcPr>
            <w:tcW w:w="8720" w:type="dxa"/>
            <w:vAlign w:val="bottom"/>
            <w:gridSpan w:val="27"/>
          </w:tcPr>
          <w:p>
            <w:pPr>
              <w:spacing w:after="0" w:line="203"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0000FF"/>
              </w:rPr>
              <w:t>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rPr>
              <w:t>Item 14.</w:t>
            </w:r>
          </w:p>
        </w:tc>
        <w:tc>
          <w:tcPr>
            <w:tcW w:w="8720" w:type="dxa"/>
            <w:vAlign w:val="bottom"/>
            <w:gridSpan w:val="27"/>
          </w:tcPr>
          <w:p>
            <w:pPr>
              <w:spacing w:after="0" w:line="203"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0000FF"/>
              </w:rPr>
              <w:t>1</w:t>
            </w:r>
          </w:p>
        </w:tc>
        <w:tc>
          <w:tcPr>
            <w:tcW w:w="0" w:type="dxa"/>
            <w:vAlign w:val="bottom"/>
          </w:tcPr>
          <w:p>
            <w:pPr>
              <w:spacing w:after="0"/>
              <w:rPr>
                <w:sz w:val="1"/>
                <w:szCs w:val="1"/>
                <w:color w:val="auto"/>
              </w:rPr>
            </w:pPr>
          </w:p>
        </w:tc>
      </w:tr>
      <w:tr>
        <w:trPr>
          <w:trHeight w:val="203"/>
        </w:trPr>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12"/>
          </w:tcPr>
          <w:p>
            <w:pPr>
              <w:jc w:val="center"/>
              <w:ind w:right="3680"/>
              <w:spacing w:after="0" w:line="203" w:lineRule="exact"/>
              <w:rPr>
                <w:sz w:val="20"/>
                <w:szCs w:val="20"/>
                <w:color w:val="auto"/>
              </w:rPr>
            </w:pPr>
            <w:r>
              <w:rPr>
                <w:rFonts w:ascii="Times New Roman" w:cs="Times New Roman" w:eastAsia="Times New Roman" w:hAnsi="Times New Roman"/>
                <w:sz w:val="18"/>
                <w:szCs w:val="18"/>
                <w:color w:val="0000FF"/>
                <w:w w:val="92"/>
              </w:rPr>
              <w:t>PART IV</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0000FF"/>
              </w:rPr>
              <w:t>Item 15.</w:t>
            </w:r>
          </w:p>
        </w:tc>
        <w:tc>
          <w:tcPr>
            <w:tcW w:w="4400" w:type="dxa"/>
            <w:vAlign w:val="bottom"/>
            <w:gridSpan w:val="15"/>
          </w:tcPr>
          <w:p>
            <w:pPr>
              <w:spacing w:after="0" w:line="203"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640" w:type="dxa"/>
            <w:vAlign w:val="bottom"/>
            <w:tcBorders>
              <w:top w:val="single" w:sz="8" w:color="0000FF"/>
            </w:tcBorders>
            <w:gridSpan w:val="6"/>
          </w:tcPr>
          <w:p>
            <w:pPr>
              <w:spacing w:after="0"/>
              <w:rPr>
                <w:sz w:val="17"/>
                <w:szCs w:val="17"/>
                <w:color w:val="auto"/>
              </w:rPr>
            </w:pPr>
          </w:p>
        </w:tc>
        <w:tc>
          <w:tcPr>
            <w:tcW w:w="3680" w:type="dxa"/>
            <w:vAlign w:val="bottom"/>
            <w:gridSpan w:val="6"/>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0000FF"/>
              </w:rPr>
              <w:t>1</w:t>
            </w:r>
          </w:p>
        </w:tc>
        <w:tc>
          <w:tcPr>
            <w:tcW w:w="0" w:type="dxa"/>
            <w:vAlign w:val="bottom"/>
          </w:tcPr>
          <w:p>
            <w:pPr>
              <w:spacing w:after="0"/>
              <w:rPr>
                <w:sz w:val="1"/>
                <w:szCs w:val="1"/>
                <w:color w:val="auto"/>
              </w:rPr>
            </w:pPr>
          </w:p>
        </w:tc>
      </w:tr>
      <w:tr>
        <w:trPr>
          <w:trHeight w:val="203"/>
        </w:trPr>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tcBorders>
              <w:top w:val="single" w:sz="8" w:color="0000FF"/>
            </w:tcBorders>
            <w:gridSpan w:val="11"/>
          </w:tcPr>
          <w:p>
            <w:pPr>
              <w:spacing w:after="0" w:line="203" w:lineRule="exact"/>
              <w:rPr>
                <w:sz w:val="20"/>
                <w:szCs w:val="20"/>
                <w:color w:val="auto"/>
              </w:rPr>
            </w:pPr>
            <w:r>
              <w:rPr>
                <w:rFonts w:ascii="Times New Roman" w:cs="Times New Roman" w:eastAsia="Times New Roman" w:hAnsi="Times New Roman"/>
                <w:sz w:val="18"/>
                <w:szCs w:val="18"/>
                <w:color w:val="0000FF"/>
              </w:rPr>
              <w:t>Signatures</w:t>
            </w:r>
          </w:p>
        </w:tc>
        <w:tc>
          <w:tcPr>
            <w:tcW w:w="5880" w:type="dxa"/>
            <w:vAlign w:val="bottom"/>
            <w:gridSpan w:val="16"/>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0000FF"/>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159385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660" w:top="868" w:right="2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acronyms and terms may be used throughout this Form 10-K, including the consolidated financial statements and related notes.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ACL</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AFS</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Available for sale</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ALCO</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Asset Liability Committee</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ALM</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Asset Liability Management</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AML</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Anti-Money Laundering</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AOCI</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Accumulated other comprehensive income</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APY</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Annual Percentage Yield</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ARM</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Adjustable rate mortgage</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AI</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Artificial intelligence</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ASU</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Basel Committee</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International Basel Committee on Banking Supervision</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BHC Act</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Bank Holding Company Act of 1956</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BHC</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Bank Holding company</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BFG</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Bridge Funding Group, Inc.</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B2B</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Business-to-Business</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B2C</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Business-to-Consumer</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BKU</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BankUnited, Inc.</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BOLI</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Bank Owned Life Insurance</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BankUnited</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BankUnited, National Association</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Bank</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BankUnited, National Association</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Bridge</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Bridge Funding Group, Inc.</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BSA</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Bank Secrecy Act</w:t>
            </w:r>
          </w:p>
        </w:tc>
      </w:tr>
      <w:tr>
        <w:trPr>
          <w:trHeight w:val="176"/>
        </w:trPr>
        <w:tc>
          <w:tcPr>
            <w:tcW w:w="25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Buyout Loans</w:t>
            </w:r>
          </w:p>
        </w:tc>
        <w:tc>
          <w:tcPr>
            <w:tcW w:w="8780" w:type="dxa"/>
            <w:vAlign w:val="bottom"/>
            <w:gridSpan w:val="2"/>
          </w:tcPr>
          <w:p>
            <w:pPr>
              <w:ind w:left="1020"/>
              <w:spacing w:after="0" w:line="176" w:lineRule="exact"/>
              <w:rPr>
                <w:sz w:val="20"/>
                <w:szCs w:val="20"/>
                <w:color w:val="auto"/>
              </w:rPr>
            </w:pPr>
            <w:r>
              <w:rPr>
                <w:rFonts w:ascii="Times New Roman" w:cs="Times New Roman" w:eastAsia="Times New Roman" w:hAnsi="Times New Roman"/>
                <w:sz w:val="18"/>
                <w:szCs w:val="18"/>
                <w:color w:val="auto"/>
                <w:w w:val="96"/>
              </w:rPr>
              <w:t>FHA and VA insured mortgages from third party servicers who have exercised their right to purchase these loa</w:t>
            </w:r>
          </w:p>
        </w:tc>
      </w:tr>
      <w:tr>
        <w:trPr>
          <w:trHeight w:val="228"/>
        </w:trPr>
        <w:tc>
          <w:tcPr>
            <w:tcW w:w="2560" w:type="dxa"/>
            <w:vAlign w:val="bottom"/>
          </w:tcPr>
          <w:p>
            <w:pPr>
              <w:spacing w:after="0"/>
              <w:rPr>
                <w:sz w:val="19"/>
                <w:szCs w:val="19"/>
                <w:color w:val="auto"/>
              </w:rPr>
            </w:pP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out of GNMA securitizations</w:t>
            </w:r>
          </w:p>
        </w:tc>
      </w:tr>
      <w:tr>
        <w:trPr>
          <w:trHeight w:val="227"/>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CAO</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CCA</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Cloud Computing Arrangements</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CDARS</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Certificate of Deposit Account Registry Service</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CECL</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Current expected credit losses</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CEO</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CET1</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Common Equity Tier 1 capital</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CFPB</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Consumer Financial Protection Bureau</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CFO</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CIO</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Chief Information Officer</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CISO</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Chief Information Security Officer</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CLO</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Collateralized loan obligations</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CME</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Chicago Mercantile Exchange</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CMOs</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Collateralized mortgage obligations</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CODM</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Core loans</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Core loans including CRE, C&amp;I and mortgage warehouse lending loans</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CPR</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Constant prepayment rate</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CRA</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Community Reinvestment Act</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CRE</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Commercial real estate loans, including non-owner occupied commercial real estate and construction and land</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CRO</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Chief Risk Officer</w:t>
            </w:r>
          </w:p>
        </w:tc>
      </w:tr>
      <w:tr>
        <w:trPr>
          <w:trHeight w:val="223"/>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C&amp;I</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Commercial and Industrial loans, including owner-occupied commercial real estate</w:t>
            </w:r>
          </w:p>
        </w:tc>
      </w:tr>
      <w:tr>
        <w:trPr>
          <w:trHeight w:val="228"/>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DIF</w:t>
            </w:r>
          </w:p>
        </w:tc>
        <w:tc>
          <w:tcPr>
            <w:tcW w:w="87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Deposit insurance fund</w:t>
            </w:r>
          </w:p>
        </w:tc>
      </w:tr>
      <w:tr>
        <w:trPr>
          <w:trHeight w:val="526"/>
        </w:trPr>
        <w:tc>
          <w:tcPr>
            <w:tcW w:w="2560" w:type="dxa"/>
            <w:vAlign w:val="bottom"/>
          </w:tcPr>
          <w:p>
            <w:pPr>
              <w:spacing w:after="0"/>
              <w:rPr>
                <w:sz w:val="24"/>
                <w:szCs w:val="24"/>
                <w:color w:val="auto"/>
              </w:rPr>
            </w:pPr>
          </w:p>
        </w:tc>
        <w:tc>
          <w:tcPr>
            <w:tcW w:w="87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ii</w:t>
            </w:r>
          </w:p>
        </w:tc>
      </w:tr>
      <w:tr>
        <w:trPr>
          <w:trHeight w:val="427"/>
        </w:trPr>
        <w:tc>
          <w:tcPr>
            <w:tcW w:w="256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4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DSCR</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Debt Service Coverage Ratio</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ESG</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Environmental, social and governance</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EVE</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Economic value of equity</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FASB</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FDIA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Federal Deposit Insurance Act</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FDIC</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FHA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Federal Housing Administration</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FHFA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Federal Housing Finance Agency</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FHLB</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Federal Home Loan Bank</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FICO</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Fair Isaac Corporation (credit score)</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FinTech</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Financial Technology</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FRB</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Federal Reserve Bank</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GAAP</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GDP</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Gross Domestic Product</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GLB Act</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Gramm-Leach-Bliley Financial Modernization Act of 1999</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GNMA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Government National Mortgage Association</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Homeowner Association</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HPI</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Home price indices</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ISDA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LGD</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Loss Given Default</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LIHTC</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Low Income Housing Tax Credits</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LTV</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Loan-to-value</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Materiality Assessment Team</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MBS</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Mortgage-backed securities</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Metropolitan Statistical Area</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MWL</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Mortgage warehouse lending</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M&amp;A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Mergers &amp; acquisitions</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NDFI</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Non-depository financial institutions</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NIDDA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Non-interest bearing demand deposits</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NPA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Non-performing asset</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NRSRO</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Nationally recognized statistical rating organization</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NSF</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Non-sufficient funds</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NTS</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National Title Solutions</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NYSE</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OCC</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Office of the Comptroller of the Currency</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OFAC</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U.S. Department of the Treasury's Office of Foreign Assets Control</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OREO</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Other real estate owned</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PCAOB</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Public Company Accounting Oversight Board</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PCD</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Purchased credit-deteriorated</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PD</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Probability of default</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Pinnacle</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Pinnacle Public Finance, Inc.</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PPNR</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Pre-tax, pre-provision net revenue</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Proxy Statement</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Definitive proxy statement for the Company's 2023 annual meeting of stockholders</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PSU</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Performance Share Unit</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REIT</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Real Estate Investment Trust</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ROAA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Return on Average Assets</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ROAE</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Return on Average Equity</w:t>
            </w:r>
          </w:p>
        </w:tc>
      </w:tr>
      <w:tr>
        <w:trPr>
          <w:trHeight w:val="223"/>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ROU Asset</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28"/>
        </w:trPr>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RPA</w:t>
            </w:r>
          </w:p>
        </w:tc>
        <w:tc>
          <w:tcPr>
            <w:tcW w:w="8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Risk Participation Agreement</w:t>
            </w:r>
          </w:p>
        </w:tc>
      </w:tr>
      <w:tr>
        <w:trPr>
          <w:trHeight w:val="539"/>
        </w:trPr>
        <w:tc>
          <w:tcPr>
            <w:tcW w:w="2540" w:type="dxa"/>
            <w:vAlign w:val="bottom"/>
          </w:tcPr>
          <w:p>
            <w:pPr>
              <w:spacing w:after="0"/>
              <w:rPr>
                <w:sz w:val="24"/>
                <w:szCs w:val="24"/>
                <w:color w:val="auto"/>
              </w:rPr>
            </w:pPr>
          </w:p>
        </w:tc>
        <w:tc>
          <w:tcPr>
            <w:tcW w:w="87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iii</w:t>
            </w:r>
          </w:p>
        </w:tc>
      </w:tr>
      <w:tr>
        <w:trPr>
          <w:trHeight w:val="414"/>
        </w:trPr>
        <w:tc>
          <w:tcPr>
            <w:tcW w:w="254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RSA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500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Tri-State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UPB</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 loan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2010 Plan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Plan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Plan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401(k)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Restricted Share Award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Share Unit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Appreciation Right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Small Business Administration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Overnight Financing Rate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&amp; Poor's 500 Index</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Jersey and Connecticut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Unpaid principal balance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Department of Agriculture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 guaranteed by the U.S. Department of Veterans Affairs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interest entities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remaining maturity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2010 Omnibus Equity Incentive Plan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Omnibus Equity Incentive Plan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Omnibus Equity Incentive Plan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BankUnited 401(k) Plan</w:t>
      </w:r>
    </w:p>
    <w:p>
      <w:pPr>
        <w:spacing w:after="0" w:line="200" w:lineRule="exact"/>
        <w:rPr>
          <w:sz w:val="20"/>
          <w:szCs w:val="20"/>
          <w:color w:val="auto"/>
        </w:rPr>
      </w:pPr>
    </w:p>
    <w:p>
      <w:pPr>
        <w:sectPr>
          <w:pgSz w:w="11900" w:h="16838" w:orient="portrait"/>
          <w:cols w:equalWidth="0" w:num="2">
            <w:col w:w="2520" w:space="720"/>
            <w:col w:w="6559"/>
          </w:cols>
          <w:pgMar w:left="660" w:top="11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281940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799"/>
          </w:cols>
          <w:pgMar w:left="660" w:top="1186" w:right="1440" w:bottom="1440" w:gutter="0" w:footer="0" w:header="0"/>
          <w:type w:val="continuous"/>
        </w:sectPr>
      </w:pPr>
    </w:p>
    <w:bookmarkStart w:id="5" w:name="page6"/>
    <w:bookmarkEnd w:id="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50"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Words such as "anticipate," "expect," "intend," "plan," "believe," "seek," "estimate," "project," "predict," "will" and similar expressions identify forward-looking statements.</w:t>
      </w:r>
    </w:p>
    <w:p>
      <w:pPr>
        <w:spacing w:after="0" w:line="113" w:lineRule="exact"/>
        <w:rPr>
          <w:sz w:val="20"/>
          <w:szCs w:val="20"/>
          <w:color w:val="auto"/>
        </w:rPr>
      </w:pPr>
    </w:p>
    <w:p>
      <w:pPr>
        <w:ind w:right="80" w:firstLine="315"/>
        <w:spacing w:after="0" w:line="282" w:lineRule="auto"/>
        <w:rPr>
          <w:sz w:val="20"/>
          <w:szCs w:val="20"/>
          <w:color w:val="auto"/>
        </w:rPr>
      </w:pPr>
      <w:r>
        <w:rPr>
          <w:rFonts w:ascii="Times New Roman" w:cs="Times New Roman" w:eastAsia="Times New Roman" w:hAnsi="Times New Roman"/>
          <w:sz w:val="16"/>
          <w:szCs w:val="16"/>
          <w:color w:val="auto"/>
        </w:rPr>
        <w:t>These forward-looking statements are based on management's current views with respect to future results, and are subject to risks and uncertainties. Forward-looking statements are based on beliefs and assumptions made by management using currently available information, such as market and industry data, historical performance and current trends. These statements are only predictions and are not guarantees of future performance. The inclusion of forward-looking statements should not be regarded as a representation by the Company that the future plans, estimates or expectations contemplated by a forward-looking statement will be achieved. Forward-looking statements are subject to various risks and uncertainties and assumptions, including those relating to the Company's operations, financial results, financial condition, business prospects, growth strategy and liquidity and to the operating environment. If one or more of these or other risks or uncertainties materialize, or if the Company's underlying assumptions prove to be incorrect, the Company's actual results could differ materially from those contemplated by a forward-looking statement. These risks and uncertainties include, without limitation:</w:t>
      </w:r>
    </w:p>
    <w:p>
      <w:pPr>
        <w:spacing w:after="0" w:line="84" w:lineRule="exact"/>
        <w:rPr>
          <w:sz w:val="20"/>
          <w:szCs w:val="20"/>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risk:</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execute our core business strategy;</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34"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disruptive events such as natural or man-made disasters, social or health care crises or political unrest;</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executive officers or key personnel;</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or societal responses thereto and stakeholder expectations around ESG;</w:t>
      </w:r>
    </w:p>
    <w:p>
      <w:pPr>
        <w:spacing w:after="0" w:line="134"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of the banking system or other financial institutions;</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including the impact of our credit rating;</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inherent in the business of making loans and embedded in our securities portfolio:</w:t>
      </w:r>
    </w:p>
    <w:p>
      <w:pPr>
        <w:spacing w:after="0" w:line="134"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allowance for credit losses;</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information about counterparties and borrowers;</w:t>
      </w:r>
    </w:p>
    <w:p>
      <w:pPr>
        <w:spacing w:after="0" w:line="147" w:lineRule="exact"/>
        <w:rPr>
          <w:rFonts w:ascii="Times New Roman" w:cs="Times New Roman" w:eastAsia="Times New Roman" w:hAnsi="Times New Roman"/>
          <w:sz w:val="18"/>
          <w:szCs w:val="18"/>
          <w:color w:val="auto"/>
        </w:rPr>
      </w:pPr>
    </w:p>
    <w:p>
      <w:pPr>
        <w:ind w:left="1260" w:right="320" w:hanging="309"/>
        <w:spacing w:after="0" w:line="268" w:lineRule="auto"/>
        <w:tabs>
          <w:tab w:leader="none" w:pos="125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market conditions, real estate valuations and other risks related to holding loans secured by real estate or real estate received in satisfaction of loans;</w:t>
      </w:r>
    </w:p>
    <w:p>
      <w:pPr>
        <w:spacing w:after="0" w:line="89"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concentration of the Company's markets in Florida and the New York tri-state area;</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and valuation of operating lease equipment;</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maintain adequate liquidity;</w:t>
      </w:r>
    </w:p>
    <w:p>
      <w:pPr>
        <w:spacing w:after="0" w:line="134"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material unanticipated deposit outflows;</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credit from the FHLB and FRB;</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amount of uninsured deposits;</w:t>
      </w:r>
    </w:p>
    <w:p>
      <w:pPr>
        <w:spacing w:after="0" w:line="134"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BankUnited, N.A. to pay dividends to BankUnited, Inc.;</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regulation of our industry;</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w:t>
      </w:r>
    </w:p>
    <w:p>
      <w:pPr>
        <w:spacing w:after="0" w:line="134"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or inaccurate forecasting tools and models;</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launch new products, services, or business initiatives;</w:t>
      </w:r>
    </w:p>
    <w:p>
      <w:pPr>
        <w:sectPr>
          <w:pgSz w:w="11900" w:h="16838" w:orient="portrait"/>
          <w:cols w:equalWidth="0" w:num="1">
            <w:col w:w="11220"/>
          </w:cols>
          <w:pgMar w:left="320" w:top="1144" w:right="3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173990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4" w:right="359" w:bottom="1440" w:gutter="0" w:footer="0" w:header="0"/>
          <w:type w:val="continuous"/>
        </w:sectPr>
      </w:pPr>
    </w:p>
    <w:bookmarkStart w:id="6" w:name="page7"/>
    <w:bookmarkEnd w:id="6"/>
    <w:p>
      <w:pPr>
        <w:ind w:left="1260" w:hanging="309"/>
        <w:spacing w:after="0"/>
        <w:tabs>
          <w:tab w:leader="none" w:pos="1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susceptibility to fraud, risk or errors;</w:t>
      </w:r>
    </w:p>
    <w:p>
      <w:pPr>
        <w:spacing w:after="0" w:line="147" w:lineRule="exact"/>
        <w:rPr>
          <w:rFonts w:ascii="Times New Roman" w:cs="Times New Roman" w:eastAsia="Times New Roman" w:hAnsi="Times New Roman"/>
          <w:sz w:val="18"/>
          <w:szCs w:val="18"/>
          <w:color w:val="auto"/>
        </w:rPr>
      </w:pPr>
    </w:p>
    <w:p>
      <w:pPr>
        <w:ind w:left="1260" w:hanging="309"/>
        <w:spacing w:after="0" w:line="268" w:lineRule="auto"/>
        <w:tabs>
          <w:tab w:leader="none" w:pos="125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information technology and third party service providers and the risk of systems failures, interruptions or breaches of security or inability to keep pace with technological change;</w:t>
      </w:r>
    </w:p>
    <w:p>
      <w:pPr>
        <w:spacing w:after="0" w:line="10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risk;</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conditions in the financial markets and economic conditions generally;</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risk management or internal controls; and</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and application of accounting policies and methods and related assumptions and estimates.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Additional factors are set forth in the Company's filings with the SEC, including this Annual Report on Form 10-K.</w:t>
      </w:r>
    </w:p>
    <w:p>
      <w:pPr>
        <w:spacing w:after="0" w:line="148" w:lineRule="exact"/>
        <w:rPr>
          <w:sz w:val="20"/>
          <w:szCs w:val="20"/>
          <w:color w:val="auto"/>
        </w:rPr>
      </w:pPr>
    </w:p>
    <w:p>
      <w:pPr>
        <w:ind w:right="200" w:firstLine="315"/>
        <w:spacing w:after="0" w:line="268" w:lineRule="auto"/>
        <w:rPr>
          <w:sz w:val="20"/>
          <w:szCs w:val="20"/>
          <w:color w:val="auto"/>
        </w:rPr>
      </w:pPr>
      <w:r>
        <w:rPr>
          <w:rFonts w:ascii="Times New Roman" w:cs="Times New Roman" w:eastAsia="Times New Roman" w:hAnsi="Times New Roman"/>
          <w:sz w:val="18"/>
          <w:szCs w:val="18"/>
          <w:color w:val="auto"/>
        </w:rPr>
        <w:t>Forward-looking statements speak only as of the date on which they are made. The Company expressly disclaims any obligation to update or revise any forward-looking statement, whether as a result of new information, future events or otherwise, except as required by law.</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used herein, the terms the "Company," "we," "us," and "our" refer to BankUnited, Inc. and its subsidiaries unless the context otherwise requires.</w:t>
      </w:r>
    </w:p>
    <w:p>
      <w:pPr>
        <w:spacing w:after="0" w:line="200" w:lineRule="exact"/>
        <w:rPr>
          <w:sz w:val="20"/>
          <w:szCs w:val="20"/>
          <w:color w:val="auto"/>
        </w:rPr>
      </w:pPr>
    </w:p>
    <w:p>
      <w:pPr>
        <w:spacing w:after="0" w:line="34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46" w:right="4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0" w:lineRule="exact"/>
        <w:rPr>
          <w:sz w:val="20"/>
          <w:szCs w:val="20"/>
          <w:color w:val="auto"/>
        </w:rPr>
      </w:pPr>
    </w:p>
    <w:p>
      <w:pPr>
        <w:ind w:right="240" w:firstLine="315"/>
        <w:spacing w:after="0" w:line="246" w:lineRule="auto"/>
        <w:rPr>
          <w:sz w:val="20"/>
          <w:szCs w:val="20"/>
          <w:color w:val="auto"/>
        </w:rPr>
      </w:pPr>
      <w:r>
        <w:rPr>
          <w:rFonts w:ascii="Times New Roman" w:cs="Times New Roman" w:eastAsia="Times New Roman" w:hAnsi="Times New Roman"/>
          <w:sz w:val="18"/>
          <w:szCs w:val="18"/>
          <w:color w:val="auto"/>
        </w:rPr>
        <w:t>BankUnited, Inc., with total consolidated assets of $35.0 billion at December 31, 2025, is a bank holding company with one direct wholly-owned subsidiary, BankUnited, collectively, the Company. BankUnited, a national banking association headquartered in Miami Lakes, Florida, with operations in Florida, New York Tri-State, Dallas, Atlanta, and Charlotte. BankUnited provides a full range of consumer and commercial banking products and services to individuals, small businesses, middle-market companies, large corporations and institutions, and offers certain commercial lending and deposit products through national platforms and certain consumer deposit products through an online channel. Our core business strategy is to build a leading regional commercial and small business bank with a distinctive value proposition based on strong service-oriented relationships, robust digital enabled customer experiences and operational excellence, and with an entrepreneurial work environment that empowers employees to deliver their best. To date, we have executed our strategy primarily through organic growth and anticipate that we will most likely continue to do so, although we will evaluate and consider opportunities to engage in merger and acquisition activity when they arise.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Lending</w:t>
      </w:r>
    </w:p>
    <w:p>
      <w:pPr>
        <w:spacing w:after="0" w:line="150" w:lineRule="exact"/>
        <w:rPr>
          <w:sz w:val="20"/>
          <w:szCs w:val="20"/>
          <w:color w:val="auto"/>
        </w:rPr>
      </w:pPr>
    </w:p>
    <w:p>
      <w:pPr>
        <w:jc w:val="both"/>
        <w:ind w:right="340" w:firstLine="315"/>
        <w:spacing w:after="0" w:line="25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—Our primary lending focus is to serve small, middle-market and larger corporate businesses with a variety of financial products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maintaining a disciplined credit culture. We offer a full array of lending products that cater to our customers' needs and have attracted and invested in experienced relationship management teams in our primary lending markets.</w:t>
      </w:r>
    </w:p>
    <w:p>
      <w:pPr>
        <w:spacing w:after="0" w:line="97" w:lineRule="exact"/>
        <w:rPr>
          <w:sz w:val="20"/>
          <w:szCs w:val="20"/>
          <w:color w:val="auto"/>
        </w:rPr>
      </w:pPr>
    </w:p>
    <w:p>
      <w:pPr>
        <w:ind w:right="40" w:firstLine="315"/>
        <w:spacing w:after="0" w:line="252" w:lineRule="auto"/>
        <w:rPr>
          <w:sz w:val="20"/>
          <w:szCs w:val="20"/>
          <w:color w:val="auto"/>
        </w:rPr>
      </w:pPr>
      <w:r>
        <w:rPr>
          <w:rFonts w:ascii="Times New Roman" w:cs="Times New Roman" w:eastAsia="Times New Roman" w:hAnsi="Times New Roman"/>
          <w:sz w:val="18"/>
          <w:szCs w:val="18"/>
          <w:i w:val="1"/>
          <w:iCs w:val="1"/>
          <w:color w:val="auto"/>
        </w:rPr>
        <w:t>Commercial loans</w:t>
      </w:r>
      <w:r>
        <w:rPr>
          <w:rFonts w:ascii="Times New Roman" w:cs="Times New Roman" w:eastAsia="Times New Roman" w:hAnsi="Times New Roman"/>
          <w:sz w:val="18"/>
          <w:szCs w:val="18"/>
          <w:color w:val="auto"/>
        </w:rPr>
        <w:t>—Our commercial loans, which are generally made to growing small business, middle-market and larger corporate entities and non-profit organizations, include secured and unsecured lines of credit, formula-based lines of credit, equipment loans, owner-occupied commercial real estate term loans and lines of credit, mortgage warehouse lines, subscription finance facilities, letters of credit, commercial credit cards, SBA and USDA product offerings, Export-Import Bank financing products, trade finance and business acquisition finance credit facilities.</w:t>
      </w:r>
    </w:p>
    <w:p>
      <w:pPr>
        <w:spacing w:after="0" w:line="118" w:lineRule="exact"/>
        <w:rPr>
          <w:sz w:val="20"/>
          <w:szCs w:val="20"/>
          <w:color w:val="auto"/>
        </w:rPr>
      </w:pPr>
    </w:p>
    <w:p>
      <w:pPr>
        <w:ind w:right="20" w:firstLine="315"/>
        <w:spacing w:after="0" w:line="248" w:lineRule="auto"/>
        <w:rPr>
          <w:sz w:val="20"/>
          <w:szCs w:val="20"/>
          <w:color w:val="auto"/>
        </w:rPr>
      </w:pPr>
      <w:r>
        <w:rPr>
          <w:rFonts w:ascii="Times New Roman" w:cs="Times New Roman" w:eastAsia="Times New Roman" w:hAnsi="Times New Roman"/>
          <w:sz w:val="18"/>
          <w:szCs w:val="18"/>
          <w:color w:val="auto"/>
        </w:rPr>
        <w:t>The Bank has two commercial lending subsidiaries, Pinnacle, headquartered in Scottsdale, Arizona and Bridge, headquartered in Baltimore, Maryland. Pinnacle provides financing to state and local governmental entities directly and through vendor programs and alliances. Pinnacle offers a full array of financing structures including essential use equipment lease purchase and loan agreements and direct (private placement) bond refundings. The Bridge portfolio consists of (i) businesses equipment loans and leases, including finance lease and operating lease structures, and (ii) franchise equipment, acquisition and expansion financing facilities. The Bridge lines of business have been de-emphasized due to their risk/return and liquidity profiles. We expect that related loan balances will continue to decline.</w:t>
      </w:r>
    </w:p>
    <w:p>
      <w:pPr>
        <w:spacing w:after="0" w:line="121" w:lineRule="exact"/>
        <w:rPr>
          <w:sz w:val="20"/>
          <w:szCs w:val="20"/>
          <w:color w:val="auto"/>
        </w:rPr>
      </w:pPr>
    </w:p>
    <w:p>
      <w:pPr>
        <w:ind w:right="40" w:firstLine="315"/>
        <w:spacing w:after="0" w:line="249" w:lineRule="auto"/>
        <w:rPr>
          <w:sz w:val="20"/>
          <w:szCs w:val="20"/>
          <w:color w:val="auto"/>
        </w:rPr>
      </w:pPr>
      <w:r>
        <w:rPr>
          <w:rFonts w:ascii="Times New Roman" w:cs="Times New Roman" w:eastAsia="Times New Roman" w:hAnsi="Times New Roman"/>
          <w:sz w:val="18"/>
          <w:szCs w:val="18"/>
          <w:i w:val="1"/>
          <w:iCs w:val="1"/>
          <w:color w:val="auto"/>
        </w:rPr>
        <w:t>Commercial real estate loans</w:t>
      </w:r>
      <w:r>
        <w:rPr>
          <w:rFonts w:ascii="Times New Roman" w:cs="Times New Roman" w:eastAsia="Times New Roman" w:hAnsi="Times New Roman"/>
          <w:sz w:val="18"/>
          <w:szCs w:val="18"/>
          <w:color w:val="auto"/>
        </w:rPr>
        <w:t>—We offer term financing for the acquisition or refinancing of properties, primarily rental apartments, mixed-use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industrial properties, warehouses, retail shopping centers, free-standing single-tenant buildings, office buildings and hotels. Other products that we provide include real estate secured lines of credit, lending to REITs and institutional asset owners, subscription lines of credit to real estate funds, and, to a lesser extent, acquisition, development and construction loan facilities and construction financing. In the current environment, we have de-emphasized lending in the office sector and been more focused on warehouse/industrial, multi-family and the retail sectors. While we have a small amount of New York rent regulated multi-family loans, we are not actively engaged in lending in this sub-sector.</w:t>
      </w:r>
    </w:p>
    <w:p>
      <w:pPr>
        <w:spacing w:after="0" w:line="105" w:lineRule="exact"/>
        <w:rPr>
          <w:sz w:val="20"/>
          <w:szCs w:val="20"/>
          <w:color w:val="auto"/>
        </w:rPr>
      </w:pPr>
    </w:p>
    <w:p>
      <w:pPr>
        <w:ind w:firstLine="315"/>
        <w:spacing w:after="0" w:line="247" w:lineRule="auto"/>
        <w:rPr>
          <w:sz w:val="20"/>
          <w:szCs w:val="20"/>
          <w:color w:val="auto"/>
        </w:rPr>
      </w:pPr>
      <w:r>
        <w:rPr>
          <w:rFonts w:ascii="Times New Roman" w:cs="Times New Roman" w:eastAsia="Times New Roman" w:hAnsi="Times New Roman"/>
          <w:sz w:val="18"/>
          <w:szCs w:val="18"/>
          <w:i w:val="1"/>
          <w:iCs w:val="1"/>
          <w:color w:val="auto"/>
        </w:rPr>
        <w:t>Residential mortgages</w:t>
      </w:r>
      <w:r>
        <w:rPr>
          <w:rFonts w:ascii="Times New Roman" w:cs="Times New Roman" w:eastAsia="Times New Roman" w:hAnsi="Times New Roman"/>
          <w:sz w:val="18"/>
          <w:szCs w:val="18"/>
          <w:color w:val="auto"/>
        </w:rPr>
        <w:t>—We do not originate residential mortgages, but do invest in residential loans originated through established correspondent channels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community partners. Our residential loan portfolio is primarily comprised of loans purchased on a national basis through select correspondent channels. This national purchase program allows us to diversify our loan portfolio, both by product type and geography. Residential loans purchased are primarily closed-end, first lien jumbo mortgages for the purchase or re-finance of owner-occupied property. A limited portion of the portfolio is secured by investor-owned properties. We do not originate or purchase negatively amortizing or sub-prime residential loans. We also acquire non-performing FHA and VA insured mortgages from third party servicers who have exercised their right to purchase these loans out of GNMA securitizations. Such loans that re-perform, either through modification or self-cure, may be eligible for re-securitization. The Company and the servicer share in the economics of the sale of these loans into new securitizations.</w:t>
      </w: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326390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8" w:name="page9"/>
    <w:bookmarkEnd w:id="8"/>
    <w:p>
      <w:pPr>
        <w:ind w:right="60" w:firstLine="315"/>
        <w:spacing w:after="0" w:line="270" w:lineRule="auto"/>
        <w:rPr>
          <w:sz w:val="20"/>
          <w:szCs w:val="20"/>
          <w:color w:val="auto"/>
        </w:rPr>
      </w:pPr>
      <w:r>
        <w:rPr>
          <w:rFonts w:ascii="Times New Roman" w:cs="Times New Roman" w:eastAsia="Times New Roman" w:hAnsi="Times New Roman"/>
          <w:sz w:val="18"/>
          <w:szCs w:val="18"/>
          <w:i w:val="1"/>
          <w:iCs w:val="1"/>
          <w:color w:val="auto"/>
        </w:rPr>
        <w:t>Other consumer loans</w:t>
      </w:r>
      <w:r>
        <w:rPr>
          <w:rFonts w:ascii="Times New Roman" w:cs="Times New Roman" w:eastAsia="Times New Roman" w:hAnsi="Times New Roman"/>
          <w:sz w:val="18"/>
          <w:szCs w:val="18"/>
          <w:color w:val="auto"/>
        </w:rPr>
        <w:t>—We do not originate, or currently intend to originate a significant amount of consumer loans. Home equity loans and lines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consumer loans are not significant components of our loan portfolio or of our lending strategy.</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risk management</w:t>
      </w:r>
      <w:r>
        <w:rPr>
          <w:rFonts w:ascii="Times New Roman" w:cs="Times New Roman" w:eastAsia="Times New Roman" w:hAnsi="Times New Roman"/>
          <w:sz w:val="18"/>
          <w:szCs w:val="18"/>
          <w:color w:val="auto"/>
        </w:rPr>
        <w:t>—Credit is managed through our three lines of defense framework as prescribed in our credit policies and procedures.</w:t>
      </w:r>
    </w:p>
    <w:p>
      <w:pPr>
        <w:spacing w:after="0" w:line="148" w:lineRule="exact"/>
        <w:rPr>
          <w:sz w:val="20"/>
          <w:szCs w:val="20"/>
          <w:color w:val="auto"/>
        </w:rPr>
      </w:pPr>
    </w:p>
    <w:p>
      <w:pPr>
        <w:ind w:left="640" w:right="80" w:hanging="319"/>
        <w:spacing w:after="0" w:line="270"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First Line of Defense - </w:t>
      </w:r>
      <w:r>
        <w:rPr>
          <w:rFonts w:ascii="Times New Roman" w:cs="Times New Roman" w:eastAsia="Times New Roman" w:hAnsi="Times New Roman"/>
          <w:sz w:val="18"/>
          <w:szCs w:val="18"/>
          <w:color w:val="auto"/>
        </w:rPr>
        <w:t>Credit opportunities are sourced, analyzed, recommended and managed by our lines of business in accordance with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procedures.</w:t>
      </w:r>
    </w:p>
    <w:p>
      <w:pPr>
        <w:spacing w:after="0" w:line="86" w:lineRule="exact"/>
        <w:rPr>
          <w:rFonts w:ascii="Times New Roman" w:cs="Times New Roman" w:eastAsia="Times New Roman" w:hAnsi="Times New Roman"/>
          <w:sz w:val="18"/>
          <w:szCs w:val="18"/>
          <w:color w:val="auto"/>
        </w:rPr>
      </w:pPr>
    </w:p>
    <w:p>
      <w:pPr>
        <w:jc w:val="both"/>
        <w:ind w:left="640" w:right="380" w:hanging="319"/>
        <w:spacing w:after="0" w:line="257"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 Line of Defense - </w:t>
      </w:r>
      <w:r>
        <w:rPr>
          <w:rFonts w:ascii="Times New Roman" w:cs="Times New Roman" w:eastAsia="Times New Roman" w:hAnsi="Times New Roman"/>
          <w:sz w:val="18"/>
          <w:szCs w:val="18"/>
          <w:color w:val="auto"/>
        </w:rPr>
        <w:t>Our Credit Administration division, reporting to the Chief Risk Officer, is responsible for the evaluation and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credit opportunities. Approval of credit and confirmation of risk ratings is performed within a risk-based delegated credit approval framework. The Credit Administration division also provides governance and oversight of our credit policies and procedures.</w:t>
      </w:r>
    </w:p>
    <w:p>
      <w:pPr>
        <w:spacing w:after="0" w:line="110" w:lineRule="exact"/>
        <w:rPr>
          <w:rFonts w:ascii="Times New Roman" w:cs="Times New Roman" w:eastAsia="Times New Roman" w:hAnsi="Times New Roman"/>
          <w:sz w:val="18"/>
          <w:szCs w:val="18"/>
          <w:color w:val="auto"/>
        </w:rPr>
      </w:pPr>
    </w:p>
    <w:p>
      <w:pPr>
        <w:ind w:left="640" w:right="140" w:hanging="319"/>
        <w:spacing w:after="0" w:line="257"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Line of Defense </w:t>
      </w:r>
      <w:r>
        <w:rPr>
          <w:rFonts w:ascii="Times New Roman" w:cs="Times New Roman" w:eastAsia="Times New Roman" w:hAnsi="Times New Roman"/>
          <w:sz w:val="18"/>
          <w:szCs w:val="18"/>
          <w:color w:val="auto"/>
        </w:rPr>
        <w:t>- Credit Review, reporting directly to the Risk Committee of the Board of Directors, provides an independent assessment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risk and the effectiveness of credit risk management processes across the organization. Credit Review performs risk-based testing through both examinations and ongoing monitoring.</w:t>
      </w:r>
    </w:p>
    <w:p>
      <w:pPr>
        <w:spacing w:after="0" w:line="113" w:lineRule="exact"/>
        <w:rPr>
          <w:sz w:val="20"/>
          <w:szCs w:val="20"/>
          <w:color w:val="auto"/>
        </w:rPr>
      </w:pPr>
    </w:p>
    <w:p>
      <w:pPr>
        <w:ind w:right="180" w:firstLine="315"/>
        <w:spacing w:after="0" w:line="268" w:lineRule="auto"/>
        <w:rPr>
          <w:sz w:val="20"/>
          <w:szCs w:val="20"/>
          <w:color w:val="auto"/>
        </w:rPr>
      </w:pPr>
      <w:r>
        <w:rPr>
          <w:rFonts w:ascii="Times New Roman" w:cs="Times New Roman" w:eastAsia="Times New Roman" w:hAnsi="Times New Roman"/>
          <w:sz w:val="18"/>
          <w:szCs w:val="18"/>
          <w:color w:val="auto"/>
        </w:rPr>
        <w:t>Asset oversight committees meet at least quarterly and provide oversight of key credit governance, transactional and credit management functions. These committees include:</w:t>
      </w:r>
    </w:p>
    <w:p>
      <w:pPr>
        <w:spacing w:after="0" w:line="90" w:lineRule="exact"/>
        <w:rPr>
          <w:sz w:val="20"/>
          <w:szCs w:val="20"/>
          <w:color w:val="auto"/>
        </w:rPr>
      </w:pPr>
    </w:p>
    <w:p>
      <w:pPr>
        <w:ind w:left="640" w:right="26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Management Committee with responsibilities including credit governance policies and procedures and changes thereto and establishing and maintaining the delegated credit approval framework;</w:t>
      </w:r>
    </w:p>
    <w:p>
      <w:pPr>
        <w:spacing w:after="0" w:line="181" w:lineRule="exact"/>
        <w:rPr>
          <w:rFonts w:ascii="Times New Roman" w:cs="Times New Roman" w:eastAsia="Times New Roman" w:hAnsi="Times New Roman"/>
          <w:sz w:val="18"/>
          <w:szCs w:val="18"/>
          <w:color w:val="auto"/>
        </w:rPr>
      </w:pPr>
    </w:p>
    <w:p>
      <w:pPr>
        <w:ind w:left="640" w:right="460" w:hanging="319"/>
        <w:spacing w:after="0" w:line="253"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Credit Committee with responsibilities including transactional credit approval for large and/or complex credit exposures as well as the approval of periodic asset monitoring reports for large and/or complex credit exposures;</w:t>
      </w:r>
    </w:p>
    <w:p>
      <w:pPr>
        <w:spacing w:after="0" w:line="207" w:lineRule="exact"/>
        <w:rPr>
          <w:rFonts w:ascii="Times New Roman" w:cs="Times New Roman" w:eastAsia="Times New Roman" w:hAnsi="Times New Roman"/>
          <w:sz w:val="18"/>
          <w:szCs w:val="18"/>
          <w:color w:val="auto"/>
        </w:rPr>
      </w:pPr>
    </w:p>
    <w:p>
      <w:pPr>
        <w:ind w:left="640" w:right="280" w:hanging="319"/>
        <w:spacing w:after="0" w:line="253"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Criticized Asset Committee with responsibilities including the evaluation and oversight of higher risk assets and oversight of workout and recovery functions; and</w:t>
      </w:r>
    </w:p>
    <w:p>
      <w:pPr>
        <w:spacing w:after="0" w:line="19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Credit Risk Management Committee with responsibilities including residential portfolio performance monitoring and certain bulk purchase transactional authorities.</w:t>
      </w:r>
    </w:p>
    <w:p>
      <w:pPr>
        <w:spacing w:after="0" w:line="90" w:lineRule="exact"/>
        <w:rPr>
          <w:sz w:val="20"/>
          <w:szCs w:val="20"/>
          <w:color w:val="auto"/>
        </w:rPr>
      </w:pPr>
    </w:p>
    <w:p>
      <w:pPr>
        <w:jc w:val="both"/>
        <w:ind w:right="380" w:firstLine="315"/>
        <w:spacing w:after="0" w:line="256" w:lineRule="auto"/>
        <w:rPr>
          <w:sz w:val="20"/>
          <w:szCs w:val="20"/>
          <w:color w:val="auto"/>
        </w:rPr>
      </w:pPr>
      <w:r>
        <w:rPr>
          <w:rFonts w:ascii="Times New Roman" w:cs="Times New Roman" w:eastAsia="Times New Roman" w:hAnsi="Times New Roman"/>
          <w:sz w:val="18"/>
          <w:szCs w:val="18"/>
          <w:color w:val="auto"/>
        </w:rPr>
        <w:t>Our in-house lending limits, ranging from $125 million to $150 million, are based upon loan type and are further limited by risk-based hold limits that incorporate our assessment of the borrower’s financial condition and industry exposure. These limits are significantly below our legal lending limit and are reviewed periodically by the Credit Risk Management Committee and approved annually by the Board of Directors.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Deposit and Treasury Solutions Products</w:t>
      </w:r>
    </w:p>
    <w:p>
      <w:pPr>
        <w:spacing w:after="0" w:line="139" w:lineRule="exact"/>
        <w:rPr>
          <w:sz w:val="20"/>
          <w:szCs w:val="20"/>
          <w:color w:val="auto"/>
        </w:rPr>
      </w:pPr>
    </w:p>
    <w:p>
      <w:pPr>
        <w:ind w:right="80" w:firstLine="315"/>
        <w:spacing w:after="0" w:line="246" w:lineRule="auto"/>
        <w:rPr>
          <w:sz w:val="20"/>
          <w:szCs w:val="20"/>
          <w:color w:val="auto"/>
        </w:rPr>
      </w:pPr>
      <w:r>
        <w:rPr>
          <w:rFonts w:ascii="Times New Roman" w:cs="Times New Roman" w:eastAsia="Times New Roman" w:hAnsi="Times New Roman"/>
          <w:sz w:val="18"/>
          <w:szCs w:val="18"/>
          <w:color w:val="auto"/>
        </w:rPr>
        <w:t>We offer traditional deposit products including commercial and consumer checking accounts, money market deposit accounts, savings accounts and certificates of deposit with a variety of terms and rates, as well as a robust suite of treasury, payments and cash management services. We offer commercial and retail deposit products across our primary geographic footprint and certain commercial deposit, payments and treasury management products and services nationally. We offer the CDARS program, providing additional FDIC insurance to our customers. We also offer other insured cash sweep programs allowing customers the ability to insure deposits above standard FDIC deposit insurance limits by distributing funds among banks that participate in the network while providing competitive rates and easy access to funds. For our consumers, we offer competitive money market and time deposit products through our online channel as well as through our retail branch network. Demand deposit balances are concentrated in commercial and small business accounts and our deposit growth strategy is focused on small business and middle market companies generally, as well as select industry verticals such as the title services and HOA industry segments. Our service fee schedule and rates are competitive with other financial institutions in our markets. We do not charge consumer overdraft or NSF fees.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w:t>
      </w:r>
    </w:p>
    <w:p>
      <w:pPr>
        <w:spacing w:after="0" w:line="150" w:lineRule="exact"/>
        <w:rPr>
          <w:sz w:val="20"/>
          <w:szCs w:val="20"/>
          <w:color w:val="auto"/>
        </w:rPr>
      </w:pPr>
    </w:p>
    <w:p>
      <w:pPr>
        <w:jc w:val="both"/>
        <w:ind w:right="260" w:firstLine="315"/>
        <w:spacing w:after="0" w:line="256" w:lineRule="auto"/>
        <w:rPr>
          <w:sz w:val="20"/>
          <w:szCs w:val="20"/>
          <w:color w:val="auto"/>
        </w:rPr>
      </w:pPr>
      <w:r>
        <w:rPr>
          <w:rFonts w:ascii="Times New Roman" w:cs="Times New Roman" w:eastAsia="Times New Roman" w:hAnsi="Times New Roman"/>
          <w:sz w:val="18"/>
          <w:szCs w:val="18"/>
          <w:color w:val="auto"/>
        </w:rPr>
        <w:t>Our largest banking market is Florida, followed by the Tri-State market of New York, concentrated in the New York Metropolitan area. We believe both represent long-term attractive banking markets. In Florida, our focus is on urban markets including the Miami-Dade, Broward, Palm Beach, Tampa, Orlando and Jacksonville markets.</w:t>
      </w:r>
    </w:p>
    <w:p>
      <w:pPr>
        <w:spacing w:after="0" w:line="113" w:lineRule="exact"/>
        <w:rPr>
          <w:sz w:val="20"/>
          <w:szCs w:val="20"/>
          <w:color w:val="auto"/>
        </w:rPr>
      </w:pPr>
    </w:p>
    <w:p>
      <w:pPr>
        <w:ind w:right="60" w:firstLine="315"/>
        <w:spacing w:after="0" w:line="268" w:lineRule="auto"/>
        <w:rPr>
          <w:sz w:val="20"/>
          <w:szCs w:val="20"/>
          <w:color w:val="auto"/>
        </w:rPr>
      </w:pPr>
      <w:r>
        <w:rPr>
          <w:rFonts w:ascii="Times New Roman" w:cs="Times New Roman" w:eastAsia="Times New Roman" w:hAnsi="Times New Roman"/>
          <w:sz w:val="18"/>
          <w:szCs w:val="18"/>
          <w:color w:val="auto"/>
        </w:rPr>
        <w:t>We have more recently entered the Atlanta, Dallas and Charlotte markets; in Charlotte with a wholesale banking office focused on the Southeastern United States, and in Atlanta and Dallas with a retail branches as well as full-service wholesale</w:t>
      </w: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banking capabilities. Our future strategy may include organic expansion into other markets, but no specific additional markets have been identified at this time.</w:t>
      </w:r>
    </w:p>
    <w:p>
      <w:pPr>
        <w:spacing w:after="0" w:line="171" w:lineRule="exact"/>
        <w:rPr>
          <w:sz w:val="20"/>
          <w:szCs w:val="20"/>
          <w:color w:val="auto"/>
        </w:rPr>
      </w:pPr>
    </w:p>
    <w:p>
      <w:pPr>
        <w:ind w:right="220" w:firstLine="315"/>
        <w:spacing w:after="0" w:line="256" w:lineRule="auto"/>
        <w:rPr>
          <w:sz w:val="20"/>
          <w:szCs w:val="20"/>
          <w:color w:val="auto"/>
        </w:rPr>
      </w:pPr>
      <w:r>
        <w:rPr>
          <w:rFonts w:ascii="Times New Roman" w:cs="Times New Roman" w:eastAsia="Times New Roman" w:hAnsi="Times New Roman"/>
          <w:sz w:val="18"/>
          <w:szCs w:val="18"/>
          <w:color w:val="auto"/>
        </w:rPr>
        <w:t>Through our NTS and HOA businesses, we offer a suite of commercial deposit, treasury solutions and cash management products nationally. The Bank also provides mortgage warehouse financing and through Pinnacle and BFG, we also offer municipal, equipment and franchise financing; all on a national basis.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50" w:lineRule="exact"/>
        <w:rPr>
          <w:sz w:val="20"/>
          <w:szCs w:val="20"/>
          <w:color w:val="auto"/>
        </w:rPr>
      </w:pPr>
    </w:p>
    <w:p>
      <w:pPr>
        <w:ind w:right="20" w:firstLine="315"/>
        <w:spacing w:after="0" w:line="288" w:lineRule="auto"/>
        <w:rPr>
          <w:sz w:val="20"/>
          <w:szCs w:val="20"/>
          <w:color w:val="auto"/>
        </w:rPr>
      </w:pPr>
      <w:r>
        <w:rPr>
          <w:rFonts w:ascii="Times New Roman" w:cs="Times New Roman" w:eastAsia="Times New Roman" w:hAnsi="Times New Roman"/>
          <w:sz w:val="16"/>
          <w:szCs w:val="16"/>
          <w:color w:val="auto"/>
        </w:rPr>
        <w:t>Our primary markets are highly competitive, containing not only a large number of community and regional banks, but also a significant presence of the country's largest commercial banks. We compete with other state, national and foreign banks as well as savings associations, savings banks and credit unions with physical presence in our market areas or targeting our market areas digitally for deposits and loans. In addition, we compete with financial intermediaries, such as private credit funds, FinTech companies, consumer finance companies, mortgage banking companies, insurance companies, securities firms, mutual funds and several government agencies as well as major retailers, all actively engaged in providing various types of loans and other financial services.</w:t>
      </w:r>
    </w:p>
    <w:p>
      <w:pPr>
        <w:spacing w:after="0" w:line="79" w:lineRule="exact"/>
        <w:rPr>
          <w:sz w:val="20"/>
          <w:szCs w:val="20"/>
          <w:color w:val="auto"/>
        </w:rPr>
      </w:pPr>
    </w:p>
    <w:p>
      <w:pPr>
        <w:ind w:right="140" w:firstLine="315"/>
        <w:spacing w:after="0" w:line="285" w:lineRule="auto"/>
        <w:rPr>
          <w:sz w:val="20"/>
          <w:szCs w:val="20"/>
          <w:color w:val="auto"/>
        </w:rPr>
      </w:pPr>
      <w:r>
        <w:rPr>
          <w:rFonts w:ascii="Times New Roman" w:cs="Times New Roman" w:eastAsia="Times New Roman" w:hAnsi="Times New Roman"/>
          <w:sz w:val="16"/>
          <w:szCs w:val="16"/>
          <w:color w:val="auto"/>
        </w:rPr>
        <w:t>Interest rates on both loans and deposits and prices of fee-based services are significant competitive factors among financial institutions generally. Other important competitive factors include convenience, quality of customer service, quality and variety of product offerings, availability and quality of digital offerings, community reputation, continuity of personnel and services, and, in the case of larger commercial customers, relative lending limits and ability to offer sophisticated cash management and other commercial banking services. While we continue to provide competitive interest rates on both depository and lending products, we believe that we can compete most successfully by focusing on the financial needs of growing companies and small and middle-market businesses, offering them a broad range of personalized services, digital platforms and sophisticated cash management tools tailored to their businesses.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Supervision</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U.S. banking industry is highly regulated under federal and state law. These regulations have a material effect on the operations of BankUnited,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direct and indirect subsidiaries.</w:t>
      </w:r>
    </w:p>
    <w:p>
      <w:pPr>
        <w:spacing w:after="0" w:line="130" w:lineRule="exact"/>
        <w:rPr>
          <w:sz w:val="20"/>
          <w:szCs w:val="20"/>
          <w:color w:val="auto"/>
        </w:rPr>
      </w:pPr>
    </w:p>
    <w:p>
      <w:pPr>
        <w:ind w:firstLine="315"/>
        <w:spacing w:after="0" w:line="248" w:lineRule="auto"/>
        <w:rPr>
          <w:sz w:val="20"/>
          <w:szCs w:val="20"/>
          <w:color w:val="auto"/>
        </w:rPr>
      </w:pPr>
      <w:r>
        <w:rPr>
          <w:rFonts w:ascii="Times New Roman" w:cs="Times New Roman" w:eastAsia="Times New Roman" w:hAnsi="Times New Roman"/>
          <w:sz w:val="18"/>
          <w:szCs w:val="18"/>
          <w:color w:val="auto"/>
        </w:rPr>
        <w:t>Statutes, regulations and policies limit the activities in which we may engage and the conduct of our permitted activities and establish capital requirements with which we must comply. The regulatory framework is intended primarily for the protection of depositors, borrowers, customers and clients, the FDIC deposit insurance fund and the banking system as a whole, and not for the protection of our stockholders or creditors. In many cases, the applicable regulatory authorities have broad enforcement power over BHCs, banks and their subsidiaries, including the power to impose substantial monetary fines and other penalties for violations of laws and regulations or engaging in unsafe and unsound banking practices. Further, the regulatory system imposes reporting and information collection obligations. We incur significant costs related to compliance with these laws and regulations.</w:t>
      </w:r>
    </w:p>
    <w:p>
      <w:pPr>
        <w:spacing w:after="0" w:line="110"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The material statutory and regulatory requirements that are applicable to us are summarized below. The description below is not intended to summarize all laws and regulations applicable to us and is qualified in its entirety by reference to the full text of the statutes, regulations, policies and other written guidance that are described.</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Bank and Bank Holding Company Regulation</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 national bank, BankUnited is subject to ongoing and comprehensive supervision, regulation, examination and enforcement by the OCC.</w:t>
      </w:r>
    </w:p>
    <w:p>
      <w:pPr>
        <w:spacing w:after="0" w:line="148" w:lineRule="exact"/>
        <w:rPr>
          <w:sz w:val="20"/>
          <w:szCs w:val="20"/>
          <w:color w:val="auto"/>
        </w:rPr>
      </w:pPr>
    </w:p>
    <w:p>
      <w:pPr>
        <w:ind w:right="360" w:firstLine="315"/>
        <w:spacing w:after="0" w:line="256" w:lineRule="auto"/>
        <w:rPr>
          <w:sz w:val="20"/>
          <w:szCs w:val="20"/>
          <w:color w:val="auto"/>
        </w:rPr>
      </w:pPr>
      <w:r>
        <w:rPr>
          <w:rFonts w:ascii="Times New Roman" w:cs="Times New Roman" w:eastAsia="Times New Roman" w:hAnsi="Times New Roman"/>
          <w:sz w:val="18"/>
          <w:szCs w:val="18"/>
          <w:color w:val="auto"/>
        </w:rPr>
        <w:t>BankUnited, Inc., which controls BankUnited, is a BHC and, as such, is subject to regulation, inspection, supervision and enforcement by the Federal Reserve Board under the BHC Act. The Federal Reserve Board's jurisdiction also extends to any company that is directly or indirectly controlled by BankUnited, Inc.</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Broad Supervision, Examination and Enforcement Powers</w:t>
      </w:r>
    </w:p>
    <w:p>
      <w:pPr>
        <w:spacing w:after="0" w:line="137" w:lineRule="exact"/>
        <w:rPr>
          <w:sz w:val="20"/>
          <w:szCs w:val="20"/>
          <w:color w:val="auto"/>
        </w:rPr>
      </w:pPr>
    </w:p>
    <w:p>
      <w:pPr>
        <w:jc w:val="both"/>
        <w:ind w:right="60" w:firstLine="315"/>
        <w:spacing w:after="0" w:line="256" w:lineRule="auto"/>
        <w:rPr>
          <w:sz w:val="20"/>
          <w:szCs w:val="20"/>
          <w:color w:val="auto"/>
        </w:rPr>
      </w:pPr>
      <w:r>
        <w:rPr>
          <w:rFonts w:ascii="Times New Roman" w:cs="Times New Roman" w:eastAsia="Times New Roman" w:hAnsi="Times New Roman"/>
          <w:sz w:val="18"/>
          <w:szCs w:val="18"/>
          <w:color w:val="auto"/>
        </w:rPr>
        <w:t>A principal objective of the U.S. bank regulatory system is to protect depositors by ensuring the financial safety and soundness of banking organizations. To that end, the banking regulators have broad regulatory, examination and enforcement authority. The regulators regularly examine the operations of banking organizations. In addition, banking organizations are subject to periodic reporting requirements.</w:t>
      </w:r>
    </w:p>
    <w:p>
      <w:pPr>
        <w:spacing w:after="0" w:line="113" w:lineRule="exact"/>
        <w:rPr>
          <w:sz w:val="20"/>
          <w:szCs w:val="20"/>
          <w:color w:val="auto"/>
        </w:rPr>
      </w:pPr>
    </w:p>
    <w:p>
      <w:pPr>
        <w:ind w:right="740" w:firstLine="315"/>
        <w:spacing w:after="0" w:line="268" w:lineRule="auto"/>
        <w:rPr>
          <w:sz w:val="20"/>
          <w:szCs w:val="20"/>
          <w:color w:val="auto"/>
        </w:rPr>
      </w:pPr>
      <w:r>
        <w:rPr>
          <w:rFonts w:ascii="Times New Roman" w:cs="Times New Roman" w:eastAsia="Times New Roman" w:hAnsi="Times New Roman"/>
          <w:sz w:val="18"/>
          <w:szCs w:val="18"/>
          <w:color w:val="auto"/>
        </w:rPr>
        <w:t>The regulators have various remedies available if they determine that the financial condition, capital resources, asset quality, earnings prospects, management, liquidity, sensitivity to market risk, compliance or other aspects of a banking</w:t>
      </w:r>
    </w:p>
    <w:p>
      <w:pPr>
        <w:spacing w:after="0" w:line="200" w:lineRule="exact"/>
        <w:rPr>
          <w:sz w:val="20"/>
          <w:szCs w:val="20"/>
          <w:color w:val="auto"/>
        </w:rPr>
      </w:pP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46" w:right="419" w:bottom="1440" w:gutter="0" w:footer="0" w:header="0"/>
        </w:sectPr>
      </w:pPr>
    </w:p>
    <w:bookmarkStart w:id="10" w:name="page11"/>
    <w:bookmarkEnd w:id="10"/>
    <w:p>
      <w:pPr>
        <w:ind w:right="160"/>
        <w:spacing w:after="0" w:line="256" w:lineRule="auto"/>
        <w:rPr>
          <w:sz w:val="20"/>
          <w:szCs w:val="20"/>
          <w:color w:val="auto"/>
        </w:rPr>
      </w:pPr>
      <w:r>
        <w:rPr>
          <w:rFonts w:ascii="Times New Roman" w:cs="Times New Roman" w:eastAsia="Times New Roman" w:hAnsi="Times New Roman"/>
          <w:sz w:val="18"/>
          <w:szCs w:val="18"/>
          <w:color w:val="auto"/>
        </w:rPr>
        <w:t>organization's operations are less than satisfactory, or that the banking organization is operating in an unsafe or unsound manner. The regulators may also take action if they determine that the banking organization or its management is violating or has violated any law or regulation. The regulators have the power to, among other things:</w:t>
      </w:r>
    </w:p>
    <w:p>
      <w:pPr>
        <w:spacing w:after="0" w:line="113" w:lineRule="exact"/>
        <w:rPr>
          <w:sz w:val="20"/>
          <w:szCs w:val="20"/>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enjoin "unsafe or unsound" practices;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affirmative actions to correct any violation or practice;</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administrative orders that can be judicially enforced;</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allegations of significant consumer compliance violations to the U.S. Justice Department;</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increases in capital;</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sale of subsidiaries or other assets;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dividends and distributions;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growth, including new retail branch openings;</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civil monetary penalties;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officers and directors;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deposit insurance; and</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conservator or receiver.</w:t>
      </w:r>
    </w:p>
    <w:p>
      <w:pPr>
        <w:spacing w:after="0" w:line="148" w:lineRule="exact"/>
        <w:rPr>
          <w:sz w:val="20"/>
          <w:szCs w:val="20"/>
          <w:color w:val="auto"/>
        </w:rPr>
      </w:pPr>
    </w:p>
    <w:p>
      <w:pPr>
        <w:ind w:right="20" w:firstLine="315"/>
        <w:spacing w:after="0" w:line="249" w:lineRule="auto"/>
        <w:rPr>
          <w:sz w:val="20"/>
          <w:szCs w:val="20"/>
          <w:color w:val="auto"/>
        </w:rPr>
      </w:pPr>
      <w:r>
        <w:rPr>
          <w:rFonts w:ascii="Times New Roman" w:cs="Times New Roman" w:eastAsia="Times New Roman" w:hAnsi="Times New Roman"/>
          <w:sz w:val="18"/>
          <w:szCs w:val="18"/>
          <w:color w:val="auto"/>
        </w:rPr>
        <w:t>Engaging in unsafe or unsound practices or failing to comply with applicable laws, regulations and supervisory agreements could subject BankUnited, Inc., the Bank and their subsidiaries or their officers, directors and institution-affiliated parties to the remedies described above and other sanctions. In addition, the FDIC may terminate a depository institution's deposit insurance upon a finding that the institution's financial condition is unsafe or unsound or that the institution has engaged in unsafe or unsound practices or has violated any applicable rule, regulation, order or condition enacted or imposed by the institution's regulatory agency.</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Notice and Approval Requirements Related to Control</w:t>
      </w:r>
    </w:p>
    <w:p>
      <w:pPr>
        <w:spacing w:after="0" w:line="150" w:lineRule="exact"/>
        <w:rPr>
          <w:sz w:val="20"/>
          <w:szCs w:val="20"/>
          <w:color w:val="auto"/>
        </w:rPr>
      </w:pPr>
    </w:p>
    <w:p>
      <w:pPr>
        <w:ind w:firstLine="315"/>
        <w:spacing w:after="0" w:line="248" w:lineRule="auto"/>
        <w:rPr>
          <w:sz w:val="20"/>
          <w:szCs w:val="20"/>
          <w:color w:val="auto"/>
        </w:rPr>
      </w:pPr>
      <w:r>
        <w:rPr>
          <w:rFonts w:ascii="Times New Roman" w:cs="Times New Roman" w:eastAsia="Times New Roman" w:hAnsi="Times New Roman"/>
          <w:sz w:val="18"/>
          <w:szCs w:val="18"/>
          <w:color w:val="auto"/>
        </w:rPr>
        <w:t>As a BHC, BankUnited, Inc. must obtain prior approval of the Federal Reserve in connection with any acquisition that would result in BankUnited, Inc. acquiring substantially all the assets, or owning or controlling 5% or more of any class of voting securities, of a bank or another BHC. The statutory factors that the Federal Reserve is required to consider in considering an application include the financial and managerial resources of the parties and the future prospects of the combined organization, the effects of the transaction on competition, the convenience and credit needs of the community, including the record of performance of the parties under the CRA, the effectiveness of the acquiring company in combating money-laundering activities and the impact of the transaction on the financial stability of the U.S. banking or financial system.</w:t>
      </w:r>
    </w:p>
    <w:p>
      <w:pPr>
        <w:spacing w:after="0" w:line="110" w:lineRule="exact"/>
        <w:rPr>
          <w:sz w:val="20"/>
          <w:szCs w:val="20"/>
          <w:color w:val="auto"/>
        </w:rPr>
      </w:pPr>
    </w:p>
    <w:p>
      <w:pPr>
        <w:ind w:right="140" w:firstLine="315"/>
        <w:spacing w:after="0" w:line="247" w:lineRule="auto"/>
        <w:rPr>
          <w:sz w:val="20"/>
          <w:szCs w:val="20"/>
          <w:color w:val="auto"/>
        </w:rPr>
      </w:pPr>
      <w:r>
        <w:rPr>
          <w:rFonts w:ascii="Times New Roman" w:cs="Times New Roman" w:eastAsia="Times New Roman" w:hAnsi="Times New Roman"/>
          <w:sz w:val="18"/>
          <w:szCs w:val="18"/>
          <w:color w:val="auto"/>
        </w:rPr>
        <w:t>In addition, federal and state banking laws impose notice, approval, and ongoing regulatory requirements on any stockholder or other party that seeks to acquire direct or indirect "control" of an FDIC-insured depository institution or BHC. These laws include the BHC Act and the Change in Bank Control Act. Among other things, these laws require regulatory filings by individuals or companies that seek to acquire direct or indirect "control" of an FDIC-insured depository institution. The determination of whether an investor "controls" a depository institution is based on all of the facts and circumstances surrounding the investment. As a general matter, a party is deemed to control a depository institution or other company if the party owns or controls 25% or more of any class of voting stock. Subject to rebuttal, a party may be presumed to control a depository institution or other company if the investor owns or controls 10% or more of any class of voting stock.</w:t>
      </w:r>
    </w:p>
    <w:p>
      <w:pPr>
        <w:spacing w:after="0" w:line="126" w:lineRule="exact"/>
        <w:rPr>
          <w:sz w:val="20"/>
          <w:szCs w:val="20"/>
          <w:color w:val="auto"/>
        </w:rPr>
      </w:pPr>
    </w:p>
    <w:p>
      <w:pPr>
        <w:ind w:right="80" w:firstLine="315"/>
        <w:spacing w:after="0" w:line="247" w:lineRule="auto"/>
        <w:rPr>
          <w:sz w:val="20"/>
          <w:szCs w:val="20"/>
          <w:color w:val="auto"/>
        </w:rPr>
      </w:pPr>
      <w:r>
        <w:rPr>
          <w:rFonts w:ascii="Times New Roman" w:cs="Times New Roman" w:eastAsia="Times New Roman" w:hAnsi="Times New Roman"/>
          <w:sz w:val="18"/>
          <w:szCs w:val="18"/>
          <w:color w:val="auto"/>
        </w:rPr>
        <w:t>The BHC Act prohibits any entity from acquiring 25% (as noted above, the BHC Act has a lower limit for acquirers that are existing BHCs) or more of a BHC’s or bank’s voting securities, or otherwise obtaining control or a controlling influence over a BHC or bank without the approval of the Federal Reserve. The Federal Reserve has rule-based standards for determining whether one company has control over another. These rules established four categories of tiered presumptions of non-control that are based on the percentage of voting shares held by the investor (less than 5%, 5-9.9%, 10-14.9% and 15-24.9%) and the presence of other indicia of control. As the percentage of ownership increases, fewer indicia of control are permitted without falling outside of the presumption of non-control. These indicia of control include nonvoting equity ownership, director representation, management interlocks, business relationships and restrictive contractual covenants. Investors can hold up to 24.9% of the voting securities and 33% of the total equity of a company without necessarily having a controlling influence.</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i w:val="1"/>
          <w:iCs w:val="1"/>
          <w:color w:val="auto"/>
        </w:rPr>
        <w:t>Permissible Activities and Investments</w:t>
      </w:r>
    </w:p>
    <w:p>
      <w:pPr>
        <w:spacing w:after="0" w:line="137" w:lineRule="exact"/>
        <w:rPr>
          <w:sz w:val="20"/>
          <w:szCs w:val="20"/>
          <w:color w:val="auto"/>
        </w:rPr>
      </w:pPr>
    </w:p>
    <w:p>
      <w:pPr>
        <w:ind w:right="160" w:firstLine="315"/>
        <w:spacing w:after="0" w:line="249" w:lineRule="auto"/>
        <w:rPr>
          <w:sz w:val="20"/>
          <w:szCs w:val="20"/>
          <w:color w:val="auto"/>
        </w:rPr>
      </w:pPr>
      <w:r>
        <w:rPr>
          <w:rFonts w:ascii="Times New Roman" w:cs="Times New Roman" w:eastAsia="Times New Roman" w:hAnsi="Times New Roman"/>
          <w:sz w:val="18"/>
          <w:szCs w:val="18"/>
          <w:color w:val="auto"/>
        </w:rPr>
        <w:t>Banking laws generally restrict the ability of BankUnited, Inc. to engage in activities other than those determined by the Federal Reserve Board to be so closely related to banking or managing or controlling banks as to be a proper incident thereto. The GLB Act expanded the scope of permissible activities for a BHC that qualifies as a financial holding company. Under the regulations implementing the GLB Act, a financial holding company may engage in additional activities that are financial in nature or incidental or complementary to a financial activity. BankUnited, Inc. has not elected to become a financial holding company.</w:t>
      </w:r>
    </w:p>
    <w:p>
      <w:pPr>
        <w:spacing w:after="0" w:line="122" w:lineRule="exact"/>
        <w:rPr>
          <w:sz w:val="20"/>
          <w:szCs w:val="20"/>
          <w:color w:val="auto"/>
        </w:rPr>
      </w:pPr>
    </w:p>
    <w:p>
      <w:pPr>
        <w:ind w:right="40" w:firstLine="315"/>
        <w:spacing w:after="0" w:line="249" w:lineRule="auto"/>
        <w:rPr>
          <w:sz w:val="20"/>
          <w:szCs w:val="20"/>
          <w:color w:val="auto"/>
        </w:rPr>
      </w:pPr>
      <w:r>
        <w:rPr>
          <w:rFonts w:ascii="Times New Roman" w:cs="Times New Roman" w:eastAsia="Times New Roman" w:hAnsi="Times New Roman"/>
          <w:sz w:val="18"/>
          <w:szCs w:val="18"/>
          <w:color w:val="auto"/>
        </w:rPr>
        <w:t>In addition, as a general matter, the establishment or acquisition by BankUnited, Inc. of a non-bank entity, or the initiation of a non-banking activity, requires prior regulatory approval. In approving acquisitions or the addition of activities, the Federal Reserve Board considers, among other things, whether the acquisition or the additional activities can reasonably be expected to produce benefits to the public, such as greater convenience, increased competition or gains in efficiency, that outweigh such possible adverse effects as undue concentration of resources, decreased or unfair competition, conflicts of interest or unsound banking practices.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Regulatory Capital Requirements and Capital Adequacy</w:t>
      </w:r>
    </w:p>
    <w:p>
      <w:pPr>
        <w:spacing w:after="0" w:line="150" w:lineRule="exact"/>
        <w:rPr>
          <w:sz w:val="20"/>
          <w:szCs w:val="20"/>
          <w:color w:val="auto"/>
        </w:rPr>
      </w:pPr>
    </w:p>
    <w:p>
      <w:pPr>
        <w:ind w:right="20" w:firstLine="315"/>
        <w:spacing w:after="0" w:line="252" w:lineRule="auto"/>
        <w:rPr>
          <w:sz w:val="20"/>
          <w:szCs w:val="20"/>
          <w:color w:val="auto"/>
        </w:rPr>
      </w:pPr>
      <w:r>
        <w:rPr>
          <w:rFonts w:ascii="Times New Roman" w:cs="Times New Roman" w:eastAsia="Times New Roman" w:hAnsi="Times New Roman"/>
          <w:sz w:val="18"/>
          <w:szCs w:val="18"/>
          <w:color w:val="auto"/>
        </w:rPr>
        <w:t>The federal bank regulators view capital levels as important indicators of an institution's financial soundness. As a general matter, FDIC-insured depository institutions and their holding companies are required to maintain minimum capital relative to the amount and types of assets they hold. The final supervisory determination on an institution's capital adequacy is based on the regulator's assessment of numerous factors. Both BankUnited, Inc. and BankUnited are subject to regulatory capital requirements.</w:t>
      </w:r>
    </w:p>
    <w:p>
      <w:pPr>
        <w:spacing w:after="0" w:line="103" w:lineRule="exact"/>
        <w:rPr>
          <w:sz w:val="20"/>
          <w:szCs w:val="20"/>
          <w:color w:val="auto"/>
        </w:rPr>
      </w:pPr>
    </w:p>
    <w:p>
      <w:pPr>
        <w:ind w:right="260" w:firstLine="315"/>
        <w:spacing w:after="0" w:line="249" w:lineRule="auto"/>
        <w:rPr>
          <w:sz w:val="20"/>
          <w:szCs w:val="20"/>
          <w:color w:val="auto"/>
        </w:rPr>
      </w:pPr>
      <w:r>
        <w:rPr>
          <w:rFonts w:ascii="Times New Roman" w:cs="Times New Roman" w:eastAsia="Times New Roman" w:hAnsi="Times New Roman"/>
          <w:sz w:val="18"/>
          <w:szCs w:val="18"/>
          <w:color w:val="auto"/>
        </w:rPr>
        <w:t>The Federal Reserve Board has established risk-based and leverage capital guidelines for BHCs, including BankUnited, Inc. The OCC has established substantially similar risk-based and leverage capital guidelines applicable to national banks, including BankUnited. BankUnited, Inc. and BankUnited are subject to capital rules implemented under the framework promulgated by the International Basel Committee on Banking Supervision (the "Basel III Capital Rules"). While some provisions of the rules are tailored to larger institutions, the Basel III Capital Rules generally apply to all U.S. banking organizations, including BankUnited, Inc. and BankUnited.</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Basel III Capital Rules provide for the following minimum capital to risk-weighted assets ratios to be considered adequately capitalized:</w:t>
      </w:r>
    </w:p>
    <w:p>
      <w:pPr>
        <w:spacing w:after="0" w:line="148"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based upon CET1;</w:t>
      </w:r>
    </w:p>
    <w:p>
      <w:pPr>
        <w:spacing w:after="0" w:line="134"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based upon tier 1 capital; and</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based upon total regulatory capital.</w:t>
      </w:r>
    </w:p>
    <w:p>
      <w:pPr>
        <w:spacing w:after="0" w:line="148" w:lineRule="exact"/>
        <w:rPr>
          <w:sz w:val="20"/>
          <w:szCs w:val="20"/>
          <w:color w:val="auto"/>
        </w:rPr>
      </w:pPr>
    </w:p>
    <w:p>
      <w:pPr>
        <w:ind w:right="620" w:firstLine="315"/>
        <w:spacing w:after="0" w:line="268" w:lineRule="auto"/>
        <w:rPr>
          <w:sz w:val="20"/>
          <w:szCs w:val="20"/>
          <w:color w:val="auto"/>
        </w:rPr>
      </w:pPr>
      <w:r>
        <w:rPr>
          <w:rFonts w:ascii="Times New Roman" w:cs="Times New Roman" w:eastAsia="Times New Roman" w:hAnsi="Times New Roman"/>
          <w:sz w:val="18"/>
          <w:szCs w:val="18"/>
          <w:color w:val="auto"/>
        </w:rPr>
        <w:t>The Basel III Capital Rules require institutions to retain a capital conservation buffer of 2.5% above these required minimum capital ratio levels. A minimum leverage ratio (tier 1 capital as a percentage of average total assets) of 3.0% is also required under the Basel III Capital Rules.</w:t>
      </w:r>
    </w:p>
    <w:p>
      <w:pPr>
        <w:spacing w:after="0" w:line="90" w:lineRule="exact"/>
        <w:rPr>
          <w:sz w:val="20"/>
          <w:szCs w:val="20"/>
          <w:color w:val="auto"/>
        </w:rPr>
      </w:pPr>
    </w:p>
    <w:p>
      <w:pPr>
        <w:ind w:firstLine="315"/>
        <w:spacing w:after="0" w:line="248" w:lineRule="auto"/>
        <w:rPr>
          <w:sz w:val="20"/>
          <w:szCs w:val="20"/>
          <w:color w:val="auto"/>
        </w:rPr>
      </w:pPr>
      <w:r>
        <w:rPr>
          <w:rFonts w:ascii="Times New Roman" w:cs="Times New Roman" w:eastAsia="Times New Roman" w:hAnsi="Times New Roman"/>
          <w:sz w:val="18"/>
          <w:szCs w:val="18"/>
          <w:color w:val="auto"/>
        </w:rPr>
        <w:t>Banking organizations that fail to maintain the minimum required capital conservation buffer could face restrictions on capital distributions or discretionary bonus payments to executive officers, with distributions and discretionary bonus payments being completely prohibited if no capital conservation buffer exists, or in the event of the following: (i) the banking organization's capital conservation buffer was below 2.5% at the beginning of a quarter; and (ii) its cumulative net income for the most recent quarterly period plus the preceding four calendar quarters is less than its cumulative capital distributions (as well as associated tax effects not already reflected in net income) during the same measurement period. Further, the federal bank regulatory agencies may set higher capital requirements for an individual BHC or bank when circumstances warrant it.</w:t>
      </w:r>
    </w:p>
    <w:p>
      <w:pPr>
        <w:spacing w:after="0" w:line="123" w:lineRule="exact"/>
        <w:rPr>
          <w:sz w:val="20"/>
          <w:szCs w:val="20"/>
          <w:color w:val="auto"/>
        </w:rPr>
      </w:pPr>
    </w:p>
    <w:p>
      <w:pPr>
        <w:ind w:right="100" w:firstLine="315"/>
        <w:spacing w:after="0" w:line="249" w:lineRule="auto"/>
        <w:rPr>
          <w:sz w:val="20"/>
          <w:szCs w:val="20"/>
          <w:color w:val="auto"/>
        </w:rPr>
      </w:pPr>
      <w:r>
        <w:rPr>
          <w:rFonts w:ascii="Times New Roman" w:cs="Times New Roman" w:eastAsia="Times New Roman" w:hAnsi="Times New Roman"/>
          <w:sz w:val="18"/>
          <w:szCs w:val="18"/>
          <w:color w:val="auto"/>
        </w:rPr>
        <w:t>The Federal Reserve, OCC and FDIC have issued a proposed rule to implement wide-ranging and significant changes to the current U.S. Basel III capital rules. Generally, the proposed rules would increase capital requirements and risk-weighted assets for Category I - IV banking organizations (generally banking organizations with $100 billion or more in total assets). It is uncertain if and when a final rule will be adopted, and if so, whether and to what extent it will differ from the proposed rule. As a result, the timing and content of any final rule, and the potential effects of any final rule on BankUnited, Inc. and BankUnited remain uncertain.</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i w:val="1"/>
          <w:iCs w:val="1"/>
          <w:color w:val="auto"/>
        </w:rPr>
        <w:t>Prompt Corrective Action</w:t>
      </w:r>
    </w:p>
    <w:p>
      <w:pPr>
        <w:spacing w:after="0" w:line="137" w:lineRule="exact"/>
        <w:rPr>
          <w:sz w:val="20"/>
          <w:szCs w:val="20"/>
          <w:color w:val="auto"/>
        </w:rPr>
      </w:pPr>
    </w:p>
    <w:p>
      <w:pPr>
        <w:ind w:right="120" w:firstLine="315"/>
        <w:spacing w:after="0" w:line="246" w:lineRule="auto"/>
        <w:rPr>
          <w:sz w:val="20"/>
          <w:szCs w:val="20"/>
          <w:color w:val="auto"/>
        </w:rPr>
      </w:pPr>
      <w:r>
        <w:rPr>
          <w:rFonts w:ascii="Times New Roman" w:cs="Times New Roman" w:eastAsia="Times New Roman" w:hAnsi="Times New Roman"/>
          <w:sz w:val="18"/>
          <w:szCs w:val="18"/>
          <w:color w:val="auto"/>
        </w:rPr>
        <w:t>Under the FDIA, the federal bank regulatory agencies must take "prompt corrective action" against undercapitalized U.S. depository institutions. U.S. depository institutions are assigned one of five capital categories: "well capitalized," "adequately capitalized," "undercapitalized," "significantly undercapitalized," and "critically undercapitalized," and are subject to differential regulation corresponding to the capital category within which the institution falls. A depository institution is deemed to be "well capitalized" if the banking institution has a total risk-based capital ratio of 10.0% or greater, a tier 1 risk-based capital ratio of 8.0% or greater, a CET1 risk-based capital ratio of 6.5% and a leverage ratio of 5.0% or greater, and the institution is not subject to an order, written agreement, capital directive or prompt corrective action directive to meet and maintain a specific level for any capital measure. Under certain circumstances, a well-capitalized, adequately capitalized or undercapitalized institution may be treated as if the institution were in the next lower capital category. A banking institution that is undercapitalized is required to submit a capital restoration plan. Failure to meet capital guidelines could subject the institution to a variety of enforcement remedies by federal bank regulatory agencies, including termination of deposit insurance by the FDIC, restrictions on certain business activities, and appointment of the FDIC as conservator or receiver. As of December 31, 2025, BankUnited, Inc. and BankUnited were well-capitalized.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Source of Strength</w:t>
      </w:r>
    </w:p>
    <w:p>
      <w:pPr>
        <w:spacing w:after="0" w:line="150" w:lineRule="exact"/>
        <w:rPr>
          <w:sz w:val="20"/>
          <w:szCs w:val="20"/>
          <w:color w:val="auto"/>
        </w:rPr>
      </w:pPr>
    </w:p>
    <w:p>
      <w:pPr>
        <w:ind w:right="60" w:firstLine="315"/>
        <w:spacing w:after="0" w:line="252" w:lineRule="auto"/>
        <w:rPr>
          <w:sz w:val="20"/>
          <w:szCs w:val="20"/>
          <w:color w:val="auto"/>
        </w:rPr>
      </w:pPr>
      <w:r>
        <w:rPr>
          <w:rFonts w:ascii="Times New Roman" w:cs="Times New Roman" w:eastAsia="Times New Roman" w:hAnsi="Times New Roman"/>
          <w:sz w:val="18"/>
          <w:szCs w:val="18"/>
          <w:color w:val="auto"/>
        </w:rPr>
        <w:t>All companies, including BHCs, that directly or indirectly control an insured depository institution, are required to serve as a source of financial and managerial strength for the depository institution. Under this requirement, BankUnited, Inc. in the future could be required to provide financial assistance to BankUnited should it experience financial distress. Such support may be required at times when, absent this statutory and Federal Reserve requirement, a BHC may not be inclined to provide it.</w:t>
      </w:r>
    </w:p>
    <w:p>
      <w:pPr>
        <w:spacing w:after="0" w:line="116" w:lineRule="exact"/>
        <w:rPr>
          <w:sz w:val="20"/>
          <w:szCs w:val="20"/>
          <w:color w:val="auto"/>
        </w:rPr>
      </w:pPr>
    </w:p>
    <w:p>
      <w:pPr>
        <w:ind w:right="340" w:firstLine="315"/>
        <w:spacing w:after="0" w:line="293" w:lineRule="auto"/>
        <w:rPr>
          <w:sz w:val="20"/>
          <w:szCs w:val="20"/>
          <w:color w:val="auto"/>
        </w:rPr>
      </w:pPr>
      <w:r>
        <w:rPr>
          <w:rFonts w:ascii="Times New Roman" w:cs="Times New Roman" w:eastAsia="Times New Roman" w:hAnsi="Times New Roman"/>
          <w:sz w:val="16"/>
          <w:szCs w:val="16"/>
          <w:color w:val="auto"/>
        </w:rPr>
        <w:t>Under the prompt corrective action provisions, if a controlled bank is undercapitalized, then the regulators could require its BHC to guarantee a capital restoration plan. In addition, if the Federal Reserve believes that a BHC’s activities, assets or affiliates represent a significant risk to the financial safety, soundness or stability of a controlled bank, then the Federal Reserve could require the BHC to terminate the activities, liquidate the assets or divest the affiliates. Currently, the Company has no material activities, assets or affiliates other than those attributable to its ownership of the Bank.</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Regulatory Limits on Dividends and Distributions</w:t>
      </w:r>
    </w:p>
    <w:p>
      <w:pPr>
        <w:spacing w:after="0" w:line="137" w:lineRule="exact"/>
        <w:rPr>
          <w:sz w:val="20"/>
          <w:szCs w:val="20"/>
          <w:color w:val="auto"/>
        </w:rPr>
      </w:pPr>
    </w:p>
    <w:p>
      <w:pPr>
        <w:jc w:val="both"/>
        <w:ind w:right="240" w:firstLine="315"/>
        <w:spacing w:after="0" w:line="303" w:lineRule="auto"/>
        <w:rPr>
          <w:sz w:val="20"/>
          <w:szCs w:val="20"/>
          <w:color w:val="auto"/>
        </w:rPr>
      </w:pPr>
      <w:r>
        <w:rPr>
          <w:rFonts w:ascii="Times New Roman" w:cs="Times New Roman" w:eastAsia="Times New Roman" w:hAnsi="Times New Roman"/>
          <w:sz w:val="16"/>
          <w:szCs w:val="16"/>
          <w:color w:val="auto"/>
        </w:rPr>
        <w:t>Federal law currently imposes limitations upon certain capital distributions by national banks, such as certain cash dividends, payments to repurchase or otherwise acquire its shares, payments to stockholders of another institution in a cash-out merger and other distributions charged against capital. The Federal Reserve Board and OCC regulate all capital distributions by BankUnited directly or indirectly to BankUnited, Inc., including dividend payments.</w:t>
      </w:r>
    </w:p>
    <w:p>
      <w:pPr>
        <w:spacing w:after="0" w:line="79" w:lineRule="exact"/>
        <w:rPr>
          <w:sz w:val="20"/>
          <w:szCs w:val="20"/>
          <w:color w:val="auto"/>
        </w:rPr>
      </w:pPr>
    </w:p>
    <w:p>
      <w:pPr>
        <w:ind w:firstLine="315"/>
        <w:spacing w:after="0" w:line="249" w:lineRule="auto"/>
        <w:rPr>
          <w:sz w:val="20"/>
          <w:szCs w:val="20"/>
          <w:color w:val="auto"/>
        </w:rPr>
      </w:pPr>
      <w:r>
        <w:rPr>
          <w:rFonts w:ascii="Times New Roman" w:cs="Times New Roman" w:eastAsia="Times New Roman" w:hAnsi="Times New Roman"/>
          <w:sz w:val="18"/>
          <w:szCs w:val="18"/>
          <w:color w:val="auto"/>
        </w:rPr>
        <w:t>BankUnited may not pay dividends to BankUnited, Inc. if, after paying those dividends, it would fail to meet the required minimum levels under risk-based capital guidelines and the minimum leverage capital ratio requirements, or in the event the OCC notified BankUnited that it was in need of more than normal supervision. Under the FDIA, an insured depository institution such as BankUnited is prohibited from making capital distributions, including the payment of dividends, if, after making such distribution, the institution would become "undercapitalized." Payment of dividends by BankUnited also may be restricted at any time at the discretion of the appropriate regulator if it deems the payment to constitute an unsafe and unsound banking practice.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BankUnited is subject to supervisory limits on its ability to declare or pay a dividend or reduce its capital unless certain conditions are satisfied.</w:t>
      </w:r>
    </w:p>
    <w:p>
      <w:pPr>
        <w:spacing w:after="0" w:line="135" w:lineRule="exact"/>
        <w:rPr>
          <w:sz w:val="20"/>
          <w:szCs w:val="20"/>
          <w:color w:val="auto"/>
        </w:rPr>
      </w:pPr>
    </w:p>
    <w:p>
      <w:pPr>
        <w:ind w:right="20" w:firstLine="315"/>
        <w:spacing w:after="0" w:line="249" w:lineRule="auto"/>
        <w:rPr>
          <w:sz w:val="20"/>
          <w:szCs w:val="20"/>
          <w:color w:val="auto"/>
        </w:rPr>
      </w:pPr>
      <w:r>
        <w:rPr>
          <w:rFonts w:ascii="Times New Roman" w:cs="Times New Roman" w:eastAsia="Times New Roman" w:hAnsi="Times New Roman"/>
          <w:sz w:val="18"/>
          <w:szCs w:val="18"/>
          <w:color w:val="auto"/>
        </w:rPr>
        <w:t>In addition, it is the policy of the Federal Reserve Board that BHCs should pay cash dividends on common stock only out of income available over the past year and only if prospective earnings retention is consistent with the organization’s expected future needs and financial condition. The policy provides that BHCs should not maintain a level of cash dividends that undermines the BHC’s ability to serve as a source of strength to its banking subsidiaries. As a Delaware corporation, BankUnited, Inc. is also subject to certain limitations and restrictions under Delaware corporate law with respect to payment of dividends and other distributions.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Limits on Transactions with Affiliates and Insiders</w:t>
      </w:r>
    </w:p>
    <w:p>
      <w:pPr>
        <w:spacing w:after="0" w:line="150" w:lineRule="exact"/>
        <w:rPr>
          <w:sz w:val="20"/>
          <w:szCs w:val="20"/>
          <w:color w:val="auto"/>
        </w:rPr>
      </w:pPr>
    </w:p>
    <w:p>
      <w:pPr>
        <w:ind w:firstLine="315"/>
        <w:spacing w:after="0" w:line="252" w:lineRule="auto"/>
        <w:rPr>
          <w:sz w:val="20"/>
          <w:szCs w:val="20"/>
          <w:color w:val="auto"/>
        </w:rPr>
      </w:pPr>
      <w:r>
        <w:rPr>
          <w:rFonts w:ascii="Times New Roman" w:cs="Times New Roman" w:eastAsia="Times New Roman" w:hAnsi="Times New Roman"/>
          <w:sz w:val="18"/>
          <w:szCs w:val="18"/>
          <w:color w:val="auto"/>
        </w:rPr>
        <w:t>Insured depository institutions are subject to restrictions on their ability to conduct transactions with affiliates and other related parties. Section 23A of the Federal Reserve Act imposes quantitative limits, qualitative requirements, and collateral requirements on certain transactions by an insured depository institution with, or for the benefit of, its affiliates. Transactions covered by Section 23A include loans, extensions of credit, investment in securities issued by an affiliate, and acquisitions of assets from an affiliate. Section 23B of the Federal Reserve Act requires that most types of transactions by an insured</w:t>
      </w: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23" w:right="359" w:bottom="1440" w:gutter="0" w:footer="0" w:header="0"/>
        </w:sectPr>
      </w:pPr>
    </w:p>
    <w:bookmarkStart w:id="13" w:name="page14"/>
    <w:bookmarkEnd w:id="13"/>
    <w:p>
      <w:pPr>
        <w:ind w:right="300"/>
        <w:spacing w:after="0" w:line="303" w:lineRule="auto"/>
        <w:rPr>
          <w:sz w:val="20"/>
          <w:szCs w:val="20"/>
          <w:color w:val="auto"/>
        </w:rPr>
      </w:pPr>
      <w:r>
        <w:rPr>
          <w:rFonts w:ascii="Times New Roman" w:cs="Times New Roman" w:eastAsia="Times New Roman" w:hAnsi="Times New Roman"/>
          <w:sz w:val="16"/>
          <w:szCs w:val="16"/>
          <w:color w:val="auto"/>
        </w:rPr>
        <w:t>depository institution with, or for the benefit of, an affiliate be on terms at least as favorable to the insured depository institution as if the transaction were conducted with an unaffiliated third party. The Dodd-Frank Act generally enhances the restrictions on transactions with affiliates, including an expansion of what types of transactions are covered to include credit exposures related to derivatives, repurchase agreements and securities lending arrangements.</w:t>
      </w:r>
    </w:p>
    <w:p>
      <w:pPr>
        <w:spacing w:after="0" w:line="79" w:lineRule="exact"/>
        <w:rPr>
          <w:sz w:val="20"/>
          <w:szCs w:val="20"/>
          <w:color w:val="auto"/>
        </w:rPr>
      </w:pPr>
    </w:p>
    <w:p>
      <w:pPr>
        <w:ind w:right="20" w:firstLine="315"/>
        <w:spacing w:after="0" w:line="268" w:lineRule="auto"/>
        <w:rPr>
          <w:sz w:val="20"/>
          <w:szCs w:val="20"/>
          <w:color w:val="auto"/>
        </w:rPr>
      </w:pPr>
      <w:r>
        <w:rPr>
          <w:rFonts w:ascii="Times New Roman" w:cs="Times New Roman" w:eastAsia="Times New Roman" w:hAnsi="Times New Roman"/>
          <w:sz w:val="18"/>
          <w:szCs w:val="18"/>
          <w:color w:val="auto"/>
        </w:rPr>
        <w:t>The Federal Reserve Board's Regulation O and OCC regulations impose restrictions and procedural requirements in connection with the extension of credit by an insured depository institution to directors, executive officers, principal stockholders and their related interests.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Examination Fees</w:t>
      </w:r>
    </w:p>
    <w:p>
      <w:pPr>
        <w:spacing w:after="0" w:line="150" w:lineRule="exact"/>
        <w:rPr>
          <w:sz w:val="20"/>
          <w:szCs w:val="20"/>
          <w:color w:val="auto"/>
        </w:rPr>
      </w:pPr>
    </w:p>
    <w:p>
      <w:pPr>
        <w:ind w:firstLine="315"/>
        <w:spacing w:after="0" w:line="268" w:lineRule="auto"/>
        <w:rPr>
          <w:sz w:val="20"/>
          <w:szCs w:val="20"/>
          <w:color w:val="auto"/>
        </w:rPr>
      </w:pPr>
      <w:r>
        <w:rPr>
          <w:rFonts w:ascii="Times New Roman" w:cs="Times New Roman" w:eastAsia="Times New Roman" w:hAnsi="Times New Roman"/>
          <w:sz w:val="18"/>
          <w:szCs w:val="18"/>
          <w:color w:val="auto"/>
        </w:rPr>
        <w:t>The OCC charges fees to recover the costs of examining national banks, processing applications and other filings, and covering direct and indirect expenses in regulating national banks. Various regulatory agencies have the authority to assess additional supervision fees.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FDIC Deposit Insurance</w:t>
      </w:r>
    </w:p>
    <w:p>
      <w:pPr>
        <w:spacing w:after="0" w:line="137" w:lineRule="exact"/>
        <w:rPr>
          <w:sz w:val="20"/>
          <w:szCs w:val="20"/>
          <w:color w:val="auto"/>
        </w:rPr>
      </w:pPr>
    </w:p>
    <w:p>
      <w:pPr>
        <w:jc w:val="both"/>
        <w:ind w:right="100" w:firstLine="315"/>
        <w:spacing w:after="0" w:line="256" w:lineRule="auto"/>
        <w:rPr>
          <w:sz w:val="20"/>
          <w:szCs w:val="20"/>
          <w:color w:val="auto"/>
        </w:rPr>
      </w:pPr>
      <w:r>
        <w:rPr>
          <w:rFonts w:ascii="Times New Roman" w:cs="Times New Roman" w:eastAsia="Times New Roman" w:hAnsi="Times New Roman"/>
          <w:sz w:val="18"/>
          <w:szCs w:val="18"/>
          <w:color w:val="auto"/>
        </w:rPr>
        <w:t>The FDIC is an independent federal agency that insures the deposits of federally insured depository institutions up to applicable limits. The FDIC also has certain regulatory, examination and enforcement powers with respect to FDIC-insured institutions. The deposits of BankUnited are insured by the FDIC up to applicable limits. As a general matter, the maximum deposit insurance amount is $250,000 per depositor.</w:t>
      </w:r>
    </w:p>
    <w:p>
      <w:pPr>
        <w:spacing w:after="0" w:line="113" w:lineRule="exact"/>
        <w:rPr>
          <w:sz w:val="20"/>
          <w:szCs w:val="20"/>
          <w:color w:val="auto"/>
        </w:rPr>
      </w:pPr>
    </w:p>
    <w:p>
      <w:pPr>
        <w:ind w:right="40" w:firstLine="315"/>
        <w:spacing w:after="0" w:line="249" w:lineRule="auto"/>
        <w:rPr>
          <w:sz w:val="20"/>
          <w:szCs w:val="20"/>
          <w:color w:val="auto"/>
        </w:rPr>
      </w:pPr>
      <w:r>
        <w:rPr>
          <w:rFonts w:ascii="Times New Roman" w:cs="Times New Roman" w:eastAsia="Times New Roman" w:hAnsi="Times New Roman"/>
          <w:sz w:val="18"/>
          <w:szCs w:val="18"/>
          <w:color w:val="auto"/>
        </w:rPr>
        <w:t>Additionally, FDIC-insured depository institutions are required to pay deposit insurance assessments to the FDIC deposit insurance fund. The amount of a particular institution's deposit insurance assessment is based on that institution's risk classification under the FDIC's risk-based assessment system. An institution's risk classification is assigned based on its capital levels and the level of supervisory concern the institution poses to the regulators. The FDIC has authority to raise or lower assessment rates on insured deposits in order to achieve statutorily required reserve ratios in the DIF and to impose special additional assessments.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Depositor Preference</w:t>
      </w:r>
    </w:p>
    <w:p>
      <w:pPr>
        <w:spacing w:after="0" w:line="150" w:lineRule="exact"/>
        <w:rPr>
          <w:sz w:val="20"/>
          <w:szCs w:val="20"/>
          <w:color w:val="auto"/>
        </w:rPr>
      </w:pPr>
    </w:p>
    <w:p>
      <w:pPr>
        <w:ind w:right="80" w:firstLine="315"/>
        <w:spacing w:after="0" w:line="293" w:lineRule="auto"/>
        <w:rPr>
          <w:sz w:val="20"/>
          <w:szCs w:val="20"/>
          <w:color w:val="auto"/>
        </w:rPr>
      </w:pPr>
      <w:r>
        <w:rPr>
          <w:rFonts w:ascii="Times New Roman" w:cs="Times New Roman" w:eastAsia="Times New Roman" w:hAnsi="Times New Roman"/>
          <w:sz w:val="16"/>
          <w:szCs w:val="16"/>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Insured and uninsured depositors, along with the FDIC, will have priority in payment ahead of unsecured, non-deposit creditors, including BankUnited, Inc., with respect to any extensions of credit they have made to such insured depository institution.</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Federal Reserve System and Federal Home Loan Bank System</w:t>
      </w:r>
    </w:p>
    <w:p>
      <w:pPr>
        <w:spacing w:after="0" w:line="137" w:lineRule="exact"/>
        <w:rPr>
          <w:sz w:val="20"/>
          <w:szCs w:val="20"/>
          <w:color w:val="auto"/>
        </w:rPr>
      </w:pPr>
    </w:p>
    <w:p>
      <w:pPr>
        <w:ind w:right="220" w:firstLine="315"/>
        <w:spacing w:after="0" w:line="256" w:lineRule="auto"/>
        <w:rPr>
          <w:sz w:val="20"/>
          <w:szCs w:val="20"/>
          <w:color w:val="auto"/>
        </w:rPr>
      </w:pPr>
      <w:r>
        <w:rPr>
          <w:rFonts w:ascii="Times New Roman" w:cs="Times New Roman" w:eastAsia="Times New Roman" w:hAnsi="Times New Roman"/>
          <w:sz w:val="18"/>
          <w:szCs w:val="18"/>
          <w:color w:val="auto"/>
        </w:rPr>
        <w:t>As a national bank, BankUnited is required to hold shares of capital stock in a Federal Reserve Bank. BankUnited holds capital stock in the Federal Reserve Bank of Atlanta. As a member of the Federal Reserve System, BankUnited has access to the Federal Reserve discount window lending and payment clearing systems. This reserve requirement may be met by holding cash in banking offices or on deposit at a Federal Reserve Bank.</w:t>
      </w:r>
    </w:p>
    <w:p>
      <w:pPr>
        <w:spacing w:after="0" w:line="113" w:lineRule="exact"/>
        <w:rPr>
          <w:sz w:val="20"/>
          <w:szCs w:val="20"/>
          <w:color w:val="auto"/>
        </w:rPr>
      </w:pPr>
    </w:p>
    <w:p>
      <w:pPr>
        <w:ind w:right="100" w:firstLine="315"/>
        <w:spacing w:after="0" w:line="303" w:lineRule="auto"/>
        <w:rPr>
          <w:sz w:val="20"/>
          <w:szCs w:val="20"/>
          <w:color w:val="auto"/>
        </w:rPr>
      </w:pPr>
      <w:r>
        <w:rPr>
          <w:rFonts w:ascii="Times New Roman" w:cs="Times New Roman" w:eastAsia="Times New Roman" w:hAnsi="Times New Roman"/>
          <w:sz w:val="16"/>
          <w:szCs w:val="16"/>
          <w:color w:val="auto"/>
        </w:rPr>
        <w:t>BankUnited is a member of the Federal Home Loan Bank of Atlanta. Each FHLB provides a central credit facility primarily for its member institutions, as well as other entities involved in home mortgage lending. Any advances from an FHLB must be secured by specified types of collateral. As a member of the FHLB, BankUnited is required to acquire and hold shares of capital stock in the FHLB of Atlanta. BankUnited is in compliance with this requirement.</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Anti-Money Laundering and OFAC</w:t>
      </w:r>
    </w:p>
    <w:p>
      <w:pPr>
        <w:spacing w:after="0" w:line="150" w:lineRule="exact"/>
        <w:rPr>
          <w:sz w:val="20"/>
          <w:szCs w:val="20"/>
          <w:color w:val="auto"/>
        </w:rPr>
      </w:pPr>
    </w:p>
    <w:p>
      <w:pPr>
        <w:ind w:right="20" w:firstLine="315"/>
        <w:spacing w:after="0" w:line="247" w:lineRule="auto"/>
        <w:rPr>
          <w:sz w:val="20"/>
          <w:szCs w:val="20"/>
          <w:color w:val="auto"/>
        </w:rPr>
      </w:pPr>
      <w:r>
        <w:rPr>
          <w:rFonts w:ascii="Times New Roman" w:cs="Times New Roman" w:eastAsia="Times New Roman" w:hAnsi="Times New Roman"/>
          <w:sz w:val="18"/>
          <w:szCs w:val="18"/>
          <w:color w:val="auto"/>
        </w:rPr>
        <w:t>Under federal law, financial institutions must maintain anti-money laundering programs that include established internal policies, procedures and controls; a designated compliance officer; an ongoing employee training program; a risk-based customer due diligence program; and testing of the program by an independent audit function. Financial institutions are also prohibited from entering into specified financial transactions and account relationships and must meet enhanced standards for due diligence, customer identification and recordkeeping, including in their dealings with non-U.S. financial institutions and non-U.S. customers. Financial institutions must take reasonable steps to conduct enhanced scrutiny of account relationships to guard against money laundering and to report any suspicious transactions, and law enforcement authorities have been granted access to certain financial information maintained by financial institutions. Bank regulators routinely examine institutions for compliance with these obligations and they must consider an institution's compliance in connection with the regulatory review</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4" w:name="page15"/>
    <w:bookmarkEnd w:id="14"/>
    <w:p>
      <w:pPr>
        <w:ind w:right="20"/>
        <w:spacing w:after="0" w:line="268" w:lineRule="auto"/>
        <w:rPr>
          <w:sz w:val="20"/>
          <w:szCs w:val="20"/>
          <w:color w:val="auto"/>
        </w:rPr>
      </w:pPr>
      <w:r>
        <w:rPr>
          <w:rFonts w:ascii="Times New Roman" w:cs="Times New Roman" w:eastAsia="Times New Roman" w:hAnsi="Times New Roman"/>
          <w:sz w:val="18"/>
          <w:szCs w:val="18"/>
          <w:color w:val="auto"/>
        </w:rPr>
        <w:t>of applications, including applications for banking mergers and acquisitions. The regulatory authorities have imposed "cease and desist" orders and civil money penalty sanctions against institutions found to be violating these obligations.</w:t>
      </w:r>
    </w:p>
    <w:p>
      <w:pPr>
        <w:spacing w:after="0" w:line="103" w:lineRule="exact"/>
        <w:rPr>
          <w:sz w:val="20"/>
          <w:szCs w:val="20"/>
          <w:color w:val="auto"/>
        </w:rPr>
      </w:pPr>
    </w:p>
    <w:p>
      <w:pPr>
        <w:ind w:right="20" w:firstLine="315"/>
        <w:spacing w:after="0" w:line="249" w:lineRule="auto"/>
        <w:rPr>
          <w:sz w:val="20"/>
          <w:szCs w:val="20"/>
          <w:color w:val="auto"/>
        </w:rPr>
      </w:pPr>
      <w:r>
        <w:rPr>
          <w:rFonts w:ascii="Times New Roman" w:cs="Times New Roman" w:eastAsia="Times New Roman" w:hAnsi="Times New Roman"/>
          <w:sz w:val="18"/>
          <w:szCs w:val="18"/>
          <w:color w:val="auto"/>
        </w:rPr>
        <w:t>The U.S. Department of the Treasury's OFAC is responsible for helping to ensure that U.S. entities do not engage in transactions with certain prohibited parties, as defined by various Executive Orders and Acts of Congress. The OFAC publishes lists of persons, organizations, and countries suspected of money laundering or aiding, harboring or engaging in terrorist acts, known as Specially Designated Nationals and Blocked Persons. If BankUnited, Inc. or BankUnited finds a name on any transaction, account or wire transfer that is an affirmative match to one on an OFAC list, BankUnited, Inc. or BankUnited must freeze or block such account or transaction, file a suspicious activity report and notify the appropriate authorities.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Consumer Laws and Regulations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Banking organizations are subject to numerous laws and regulations intended to protect consumers. These laws include, among others:</w:t>
      </w:r>
    </w:p>
    <w:p>
      <w:pPr>
        <w:spacing w:after="0" w:line="135" w:lineRule="exact"/>
        <w:rPr>
          <w:sz w:val="20"/>
          <w:szCs w:val="20"/>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Truth in Lending Act;</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Truth in Savings Act;</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Funds Transfer Act;</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Expedited Funds Availability Act;</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Credit Opportunity Act;</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and Accurate Credit Transactions Act;</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Housing Act;</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Credit Reporting Act;</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Gramm-Leach-Bliley Act;</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Mortgage Disclosure Act;</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Financial Privacy Act;</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Settlement Procedures Act;</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regarding unfair and deceptive acts and practices; and</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usury laws.</w:t>
      </w:r>
    </w:p>
    <w:p>
      <w:pPr>
        <w:spacing w:after="0" w:line="135" w:lineRule="exact"/>
        <w:rPr>
          <w:sz w:val="20"/>
          <w:szCs w:val="20"/>
          <w:color w:val="auto"/>
        </w:rPr>
      </w:pPr>
    </w:p>
    <w:p>
      <w:pPr>
        <w:ind w:firstLine="315"/>
        <w:spacing w:after="0" w:line="252" w:lineRule="auto"/>
        <w:rPr>
          <w:sz w:val="20"/>
          <w:szCs w:val="20"/>
          <w:color w:val="auto"/>
        </w:rPr>
      </w:pPr>
      <w:r>
        <w:rPr>
          <w:rFonts w:ascii="Times New Roman" w:cs="Times New Roman" w:eastAsia="Times New Roman" w:hAnsi="Times New Roman"/>
          <w:sz w:val="18"/>
          <w:szCs w:val="18"/>
          <w:color w:val="auto"/>
        </w:rPr>
        <w:t>Many states and local jurisdictions have consumer protection laws analogous to, and in addition to, those listed above. These federal,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Privacy and Information Security</w:t>
      </w:r>
    </w:p>
    <w:p>
      <w:pPr>
        <w:spacing w:after="0" w:line="150" w:lineRule="exact"/>
        <w:rPr>
          <w:sz w:val="20"/>
          <w:szCs w:val="20"/>
          <w:color w:val="auto"/>
        </w:rPr>
      </w:pPr>
    </w:p>
    <w:p>
      <w:pPr>
        <w:ind w:right="20" w:firstLine="315"/>
        <w:spacing w:after="0" w:line="285" w:lineRule="auto"/>
        <w:rPr>
          <w:sz w:val="20"/>
          <w:szCs w:val="20"/>
          <w:color w:val="auto"/>
        </w:rPr>
      </w:pPr>
      <w:r>
        <w:rPr>
          <w:rFonts w:ascii="Times New Roman" w:cs="Times New Roman" w:eastAsia="Times New Roman" w:hAnsi="Times New Roman"/>
          <w:sz w:val="16"/>
          <w:szCs w:val="16"/>
          <w:color w:val="auto"/>
        </w:rPr>
        <w:t>Banking organizations are subject to many federal and state laws and regulations governing the collection, use and protection of customer information. For example, the Gramm-Leach-Bliley Act requires BankUnited to disclose its privacy policies and practices relating to sharing nonpublic customer information and enables retail customers to opt out of our ability to share information with unaffiliated third parties under certain circumstances. Other federal and state laws and regulations impact our ability to share certain information with affiliates and non-affiliates for marketing and/or non-marketing purposes, or to contact customers with marketing offers. The Gramm-Leach-Bliley Act also requires BankUnited to implement a comprehensive information security program that includes administrative, technical and physical safeguards to ensure the security and confidentiality of customer records and information.</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CFPB</w:t>
      </w:r>
    </w:p>
    <w:p>
      <w:pPr>
        <w:spacing w:after="0" w:line="150" w:lineRule="exact"/>
        <w:rPr>
          <w:sz w:val="20"/>
          <w:szCs w:val="20"/>
          <w:color w:val="auto"/>
        </w:rPr>
      </w:pPr>
    </w:p>
    <w:p>
      <w:pPr>
        <w:ind w:firstLine="315"/>
        <w:spacing w:after="0" w:line="252" w:lineRule="auto"/>
        <w:rPr>
          <w:sz w:val="20"/>
          <w:szCs w:val="20"/>
          <w:color w:val="auto"/>
        </w:rPr>
      </w:pPr>
      <w:r>
        <w:rPr>
          <w:rFonts w:ascii="Times New Roman" w:cs="Times New Roman" w:eastAsia="Times New Roman" w:hAnsi="Times New Roman"/>
          <w:sz w:val="18"/>
          <w:szCs w:val="18"/>
          <w:color w:val="auto"/>
        </w:rPr>
        <w:t>The CFPB is tasked with establishing and implementing rules and regulations under certain federal consumer protection laws with respect to the conduct of providers of certain consumer financial products and services. The CFPB has rulemaking authority over many of the statutes governing products and services offered to bank and thrift consumers. For banking organizations with assets of $10 billion or more, such as the Bank, the CFPB has exclusive rule making and examination, and</w:t>
      </w: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15" w:name="page16"/>
    <w:bookmarkEnd w:id="15"/>
    <w:p>
      <w:pPr>
        <w:ind w:right="40"/>
        <w:spacing w:after="0" w:line="268" w:lineRule="auto"/>
        <w:rPr>
          <w:sz w:val="20"/>
          <w:szCs w:val="20"/>
          <w:color w:val="auto"/>
        </w:rPr>
      </w:pPr>
      <w:r>
        <w:rPr>
          <w:rFonts w:ascii="Times New Roman" w:cs="Times New Roman" w:eastAsia="Times New Roman" w:hAnsi="Times New Roman"/>
          <w:sz w:val="18"/>
          <w:szCs w:val="18"/>
          <w:color w:val="auto"/>
        </w:rPr>
        <w:t>primary enforcement authority under certain federal consumer protection financial laws. In addition, states are permitted to adopt consumer protection laws and regulations that are stricter than those regulations promulgated by the CFPB.</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Community Reinvestment Act</w:t>
      </w:r>
    </w:p>
    <w:p>
      <w:pPr>
        <w:spacing w:after="0" w:line="150" w:lineRule="exact"/>
        <w:rPr>
          <w:sz w:val="20"/>
          <w:szCs w:val="20"/>
          <w:color w:val="auto"/>
        </w:rPr>
      </w:pPr>
    </w:p>
    <w:p>
      <w:pPr>
        <w:ind w:right="20" w:firstLine="315"/>
        <w:spacing w:after="0" w:line="331" w:lineRule="auto"/>
        <w:rPr>
          <w:sz w:val="20"/>
          <w:szCs w:val="20"/>
          <w:color w:val="auto"/>
        </w:rPr>
      </w:pPr>
      <w:r>
        <w:rPr>
          <w:rFonts w:ascii="Times New Roman" w:cs="Times New Roman" w:eastAsia="Times New Roman" w:hAnsi="Times New Roman"/>
          <w:sz w:val="16"/>
          <w:szCs w:val="16"/>
          <w:color w:val="auto"/>
        </w:rPr>
        <w:t>The CRA is intended to encourage financial institutions to help meet the credit needs of their geographic service areas, including low and moderate-income neighborhoods, consistent with safe and sound operations. The federal bank prudential regulators examine and assign each bank a public CRA rating.</w:t>
      </w:r>
    </w:p>
    <w:p>
      <w:pPr>
        <w:spacing w:after="0" w:line="58" w:lineRule="exact"/>
        <w:rPr>
          <w:sz w:val="20"/>
          <w:szCs w:val="20"/>
          <w:color w:val="auto"/>
        </w:rPr>
      </w:pPr>
    </w:p>
    <w:p>
      <w:pPr>
        <w:ind w:right="20" w:firstLine="315"/>
        <w:spacing w:after="0" w:line="247" w:lineRule="auto"/>
        <w:rPr>
          <w:sz w:val="20"/>
          <w:szCs w:val="20"/>
          <w:color w:val="auto"/>
        </w:rPr>
      </w:pPr>
      <w:r>
        <w:rPr>
          <w:rFonts w:ascii="Times New Roman" w:cs="Times New Roman" w:eastAsia="Times New Roman" w:hAnsi="Times New Roman"/>
          <w:sz w:val="18"/>
          <w:szCs w:val="18"/>
          <w:color w:val="auto"/>
        </w:rPr>
        <w:t>The CRA requires federal bank regulators to take into account the bank's record in meeting the needs of its geographic service areas when considering an application by a bank to establish or relocate a branch or to conduct certain mergers or acquisitions. The Federal Reserve Board is required to consider the CRA performance of a BHC's controlled banks when considering an application by the BHC to acquire a banking organization or to merge with another BHC. If BankUnited, Inc. or BankUnited applies for regulatory approval to make certain investments, the regulators will consider the CRA record of target institutions and BankUnited, Inc.'s depository institution subsidiaries. A less than satisfactory CRA rating could substantially delay approval or result in denial of an application. The regulatory agency's assessment of the institution's CRA performance is made available to the public. Following the OCC's most recent CRA performance evaluation in October 2024, BankUnited received an overall rating of "Satisfactory."</w:t>
      </w:r>
    </w:p>
    <w:p>
      <w:pPr>
        <w:spacing w:after="0" w:line="112" w:lineRule="exact"/>
        <w:rPr>
          <w:sz w:val="20"/>
          <w:szCs w:val="20"/>
          <w:color w:val="auto"/>
        </w:rPr>
      </w:pPr>
    </w:p>
    <w:p>
      <w:pPr>
        <w:ind w:right="80" w:firstLine="315"/>
        <w:spacing w:after="0" w:line="268" w:lineRule="auto"/>
        <w:rPr>
          <w:sz w:val="20"/>
          <w:szCs w:val="20"/>
          <w:color w:val="auto"/>
        </w:rPr>
      </w:pPr>
      <w:r>
        <w:rPr>
          <w:rFonts w:ascii="Times New Roman" w:cs="Times New Roman" w:eastAsia="Times New Roman" w:hAnsi="Times New Roman"/>
          <w:sz w:val="18"/>
          <w:szCs w:val="18"/>
          <w:color w:val="auto"/>
        </w:rPr>
        <w:t>A new interagency CRA rule was published in February 2024 imposing additional data collection and reporting requirements on financial institutions. The agencies issued their intent to rescind the CRA interagency rule and reinstate the 1995 CRA rule in March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50" w:lineRule="exact"/>
        <w:rPr>
          <w:sz w:val="20"/>
          <w:szCs w:val="20"/>
          <w:color w:val="auto"/>
        </w:rPr>
      </w:pPr>
    </w:p>
    <w:p>
      <w:pPr>
        <w:ind w:right="100" w:firstLine="315"/>
        <w:spacing w:after="0" w:line="215" w:lineRule="exact"/>
        <w:rPr>
          <w:sz w:val="20"/>
          <w:szCs w:val="20"/>
          <w:color w:val="auto"/>
        </w:rPr>
      </w:pPr>
      <w:r>
        <w:rPr>
          <w:rFonts w:ascii="Times New Roman" w:cs="Times New Roman" w:eastAsia="Times New Roman" w:hAnsi="Times New Roman"/>
          <w:sz w:val="18"/>
          <w:szCs w:val="18"/>
          <w:color w:val="auto"/>
        </w:rPr>
        <w:t>At December 31, 2025, we employed 1,785 full-time employees and 18 part-time employee, with an average tenure of 6.5 years. None of our employees are parties to a collective bargaining agreement. Our human capital strategy focuses on attracting, developing, and retaining a skilled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performing workforce, recognizing the critical role employees play in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success of our business. We hire based on qualifications and capabilities and value the diverse perspectives and experiences of our employees.</w:t>
      </w:r>
    </w:p>
    <w:p>
      <w:pPr>
        <w:spacing w:after="0" w:line="88" w:lineRule="exact"/>
        <w:rPr>
          <w:sz w:val="20"/>
          <w:szCs w:val="20"/>
          <w:color w:val="auto"/>
        </w:rPr>
      </w:pPr>
    </w:p>
    <w:p>
      <w:pPr>
        <w:jc w:val="both"/>
        <w:ind w:right="200" w:firstLine="315"/>
        <w:spacing w:after="0" w:line="229" w:lineRule="exact"/>
        <w:rPr>
          <w:sz w:val="20"/>
          <w:szCs w:val="20"/>
          <w:color w:val="auto"/>
        </w:rPr>
      </w:pPr>
      <w:r>
        <w:rPr>
          <w:rFonts w:ascii="Times New Roman" w:cs="Times New Roman" w:eastAsia="Times New Roman" w:hAnsi="Times New Roman"/>
          <w:sz w:val="18"/>
          <w:szCs w:val="18"/>
          <w:color w:val="auto"/>
        </w:rPr>
        <w:t>We provide competitive compensation and a comprehensive benefits package, including a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sponsored 401(k) program, tuition reimbursement, flexible spending and health savings accounts with Company contributions, paid time off, paid parental leave, paid holidays, flexible work arrangements, and hybrid/remote opportunities for eligible roles.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Corporate Responsibility &amp; Culture</w:t>
      </w:r>
    </w:p>
    <w:p>
      <w:pPr>
        <w:spacing w:after="0" w:line="150" w:lineRule="exact"/>
        <w:rPr>
          <w:sz w:val="20"/>
          <w:szCs w:val="20"/>
          <w:color w:val="auto"/>
        </w:rPr>
      </w:pPr>
    </w:p>
    <w:p>
      <w:pPr>
        <w:jc w:val="both"/>
        <w:ind w:right="100" w:firstLine="315"/>
        <w:spacing w:after="0" w:line="214" w:lineRule="exact"/>
        <w:rPr>
          <w:sz w:val="20"/>
          <w:szCs w:val="20"/>
          <w:color w:val="auto"/>
        </w:rPr>
      </w:pPr>
      <w:r>
        <w:rPr>
          <w:rFonts w:ascii="Times New Roman" w:cs="Times New Roman" w:eastAsia="Times New Roman" w:hAnsi="Times New Roman"/>
          <w:sz w:val="18"/>
          <w:szCs w:val="18"/>
          <w:color w:val="auto"/>
        </w:rPr>
        <w:t>We are committed to maintaining a safe and supportive workplace where employees feel valued and engaged. Our culture is reinforced through iCARE™, an enterprise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initiative promoting community involvement, mentorship, and employee connection. The program is supported by a 14 member iCARE™ Council and 30 iCARE™ Ambassadors who drive employee engagement and participation across the organization. In 2025, our employees contributed 4,409 volunteer hours, a 7% increase from 2024, supporting more than 250 community organizations. In addition to volunteerism, the Bank provided $3.5 million in grants, sponsorships, and contributions.</w:t>
      </w:r>
    </w:p>
    <w:p>
      <w:pPr>
        <w:spacing w:after="0" w:line="118" w:lineRule="exact"/>
        <w:rPr>
          <w:sz w:val="20"/>
          <w:szCs w:val="20"/>
          <w:color w:val="auto"/>
        </w:rPr>
      </w:pPr>
    </w:p>
    <w:p>
      <w:pPr>
        <w:ind w:right="20" w:firstLine="315"/>
        <w:spacing w:after="0" w:line="215" w:lineRule="exact"/>
        <w:rPr>
          <w:sz w:val="20"/>
          <w:szCs w:val="20"/>
          <w:color w:val="auto"/>
        </w:rPr>
      </w:pPr>
      <w:r>
        <w:rPr>
          <w:rFonts w:ascii="Times New Roman" w:cs="Times New Roman" w:eastAsia="Times New Roman" w:hAnsi="Times New Roman"/>
          <w:sz w:val="18"/>
          <w:szCs w:val="18"/>
          <w:color w:val="auto"/>
        </w:rPr>
        <w:t>We also invest in education and workforce development through partnerships with nine universities offering scholarships, internships, and student programs that have benefited more than 250 students. Our exclusive partnership with Florida International University’s ATOM Pink Tank program, a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leadership and research initiative for STEM students, has produced 78 graduates to date. Since inception, 25% of student participants have joined the Bank in roles across the organization.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Additional information on our iCARE™ initiatives is available in our annual iCARE™ Report and Social Impact Report on our Investor Relations website.</w:t>
      </w: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Health, Wellness and Safety</w:t>
      </w:r>
    </w:p>
    <w:p>
      <w:pPr>
        <w:spacing w:after="0" w:line="111" w:lineRule="exact"/>
        <w:rPr>
          <w:sz w:val="20"/>
          <w:szCs w:val="20"/>
          <w:color w:val="auto"/>
        </w:rPr>
      </w:pPr>
    </w:p>
    <w:p>
      <w:pPr>
        <w:ind w:right="420" w:firstLine="315"/>
        <w:spacing w:after="0" w:line="225" w:lineRule="exact"/>
        <w:rPr>
          <w:sz w:val="20"/>
          <w:szCs w:val="20"/>
          <w:color w:val="auto"/>
        </w:rPr>
      </w:pPr>
      <w:r>
        <w:rPr>
          <w:rFonts w:ascii="Times New Roman" w:cs="Times New Roman" w:eastAsia="Times New Roman" w:hAnsi="Times New Roman"/>
          <w:sz w:val="18"/>
          <w:szCs w:val="18"/>
          <w:color w:val="auto"/>
        </w:rPr>
        <w:t>Our Wellness Program supports the mental, physical, emotional, social, financial, and occupational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being of our employees. The BankUnited Corporate Center provides an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site fitness facility and access to screenings such as dermatology, physicals, vision and dental exams, mammograms, and vaccination clinics. Additional offerings include nutrition counseling, therapeutic programs, meditation, and live or virtual fitness classes. Employees who participate in the program are eligible for reduced medical insurance premiums.</w:t>
      </w:r>
    </w:p>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6" w:name="page17"/>
    <w:bookmarkEnd w:id="16"/>
    <w:p>
      <w:pPr>
        <w:ind w:right="500" w:firstLine="315"/>
        <w:spacing w:after="0" w:line="268" w:lineRule="auto"/>
        <w:rPr>
          <w:sz w:val="20"/>
          <w:szCs w:val="20"/>
          <w:color w:val="auto"/>
        </w:rPr>
      </w:pPr>
      <w:r>
        <w:rPr>
          <w:rFonts w:ascii="Times New Roman" w:cs="Times New Roman" w:eastAsia="Times New Roman" w:hAnsi="Times New Roman"/>
          <w:sz w:val="18"/>
          <w:szCs w:val="18"/>
          <w:color w:val="auto"/>
        </w:rPr>
        <w:t>In 2025, BankUnited received recognition as “The Nation’s Best and Brightest in Wellness” by the National Association of Business Resources and “Healthiest Employer in South Florida” by the Florida Department of Health and Worksite Wellness Committee.</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Career Growth and Development</w:t>
      </w:r>
    </w:p>
    <w:p>
      <w:pPr>
        <w:spacing w:after="0" w:line="150" w:lineRule="exact"/>
        <w:rPr>
          <w:sz w:val="20"/>
          <w:szCs w:val="20"/>
          <w:color w:val="auto"/>
        </w:rPr>
      </w:pPr>
    </w:p>
    <w:p>
      <w:pPr>
        <w:ind w:right="280" w:firstLine="315"/>
        <w:spacing w:after="0" w:line="216" w:lineRule="exact"/>
        <w:rPr>
          <w:sz w:val="20"/>
          <w:szCs w:val="20"/>
          <w:color w:val="auto"/>
        </w:rPr>
      </w:pPr>
      <w:r>
        <w:rPr>
          <w:rFonts w:ascii="Times New Roman" w:cs="Times New Roman" w:eastAsia="Times New Roman" w:hAnsi="Times New Roman"/>
          <w:sz w:val="18"/>
          <w:szCs w:val="18"/>
          <w:color w:val="auto"/>
        </w:rPr>
        <w:t>Through our Go for More™ Academy, we offer development, training, and leadership programs, including Rising Leader, EXCELerate, and the FIU Leadership Institute, along with internal learning opportunities such as Toastmasters and the Go for More™ Book Club. Employees also utilize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learning platforms including MindTools and Udemy.</w:t>
      </w:r>
    </w:p>
    <w:p>
      <w:pPr>
        <w:spacing w:after="0" w:line="90" w:lineRule="exact"/>
        <w:rPr>
          <w:sz w:val="20"/>
          <w:szCs w:val="20"/>
          <w:color w:val="auto"/>
        </w:rPr>
      </w:pPr>
    </w:p>
    <w:p>
      <w:pPr>
        <w:ind w:firstLine="315"/>
        <w:spacing w:after="0" w:line="229" w:lineRule="exact"/>
        <w:rPr>
          <w:sz w:val="20"/>
          <w:szCs w:val="20"/>
          <w:color w:val="auto"/>
        </w:rPr>
      </w:pPr>
      <w:r>
        <w:rPr>
          <w:rFonts w:ascii="Times New Roman" w:cs="Times New Roman" w:eastAsia="Times New Roman" w:hAnsi="Times New Roman"/>
          <w:sz w:val="18"/>
          <w:szCs w:val="18"/>
          <w:color w:val="auto"/>
        </w:rPr>
        <w:t>In 2025, 228 employees participated in internal programs and 1,634 employees engaged with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learning platforms. Our mentoring programs involved 213 employees, generating 609 hours of mentoring and receiving an average rating of 4.7 out of 5 stars. BankUnited received the 2026 Training MVP Award from Training Magazine.</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Communication &amp; Engagement</w:t>
      </w:r>
    </w:p>
    <w:p>
      <w:pPr>
        <w:spacing w:after="0" w:line="137" w:lineRule="exact"/>
        <w:rPr>
          <w:sz w:val="20"/>
          <w:szCs w:val="20"/>
          <w:color w:val="auto"/>
        </w:rPr>
      </w:pPr>
    </w:p>
    <w:p>
      <w:pPr>
        <w:ind w:right="360" w:firstLine="315"/>
        <w:spacing w:after="0" w:line="233" w:lineRule="exact"/>
        <w:rPr>
          <w:sz w:val="20"/>
          <w:szCs w:val="20"/>
          <w:color w:val="auto"/>
        </w:rPr>
      </w:pPr>
      <w:r>
        <w:rPr>
          <w:rFonts w:ascii="Times New Roman" w:cs="Times New Roman" w:eastAsia="Times New Roman" w:hAnsi="Times New Roman"/>
          <w:sz w:val="18"/>
          <w:szCs w:val="18"/>
          <w:color w:val="auto"/>
        </w:rPr>
        <w:t>We collect employee feedback through periodic engagement surveys conducted by an independent firm. In the most recent survey, 87% of employees participated and 82% responded favorably to engagement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questions.</w:t>
      </w:r>
    </w:p>
    <w:p>
      <w:pPr>
        <w:spacing w:after="0" w:line="99" w:lineRule="exact"/>
        <w:rPr>
          <w:sz w:val="20"/>
          <w:szCs w:val="20"/>
          <w:color w:val="auto"/>
        </w:rPr>
      </w:pPr>
    </w:p>
    <w:p>
      <w:pPr>
        <w:ind w:right="400" w:firstLine="315"/>
        <w:spacing w:after="0" w:line="216" w:lineRule="exact"/>
        <w:rPr>
          <w:sz w:val="20"/>
          <w:szCs w:val="20"/>
          <w:color w:val="auto"/>
        </w:rPr>
      </w:pPr>
      <w:r>
        <w:rPr>
          <w:rFonts w:ascii="Times New Roman" w:cs="Times New Roman" w:eastAsia="Times New Roman" w:hAnsi="Times New Roman"/>
          <w:sz w:val="18"/>
          <w:szCs w:val="18"/>
          <w:color w:val="auto"/>
        </w:rPr>
        <w:t>We support transparent communication through regular CEO updates, town halls, and the Leadership Chat Series, an interactive forum connecting employees with BankUnited executives. Our Kudos Employee Recognition platform furthers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peer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acknowledgment and strengthens our culture of appreciation.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50" w:lineRule="exact"/>
        <w:rPr>
          <w:sz w:val="20"/>
          <w:szCs w:val="20"/>
          <w:color w:val="auto"/>
        </w:rPr>
      </w:pPr>
    </w:p>
    <w:p>
      <w:pPr>
        <w:ind w:right="40" w:firstLine="315"/>
        <w:spacing w:after="0" w:line="293" w:lineRule="auto"/>
        <w:rPr>
          <w:sz w:val="20"/>
          <w:szCs w:val="20"/>
          <w:color w:val="auto"/>
        </w:rPr>
      </w:pPr>
      <w:r>
        <w:rPr>
          <w:rFonts w:ascii="Times New Roman" w:cs="Times New Roman" w:eastAsia="Times New Roman" w:hAnsi="Times New Roman"/>
          <w:sz w:val="16"/>
          <w:szCs w:val="16"/>
          <w:color w:val="auto"/>
        </w:rPr>
        <w:t>Our website address is www.bankunited.com. Our electronic filings with the SEC (including all Annual Reports on Form 10-K, Quarterly Reports on Form 10-Q, Current Reports on Form 8-K, and if applicable, amendments to those reports) are available free of charge on the website as soon as reasonably practicable after they are electronically filed with, or furnished to, the SEC. The information posted on our website is not incorporated into this Annual Report. In addition, the SEC maintains a website that contains reports and other information filed with the SEC. The website can be accessed at http://www.sec.gov.</w:t>
      </w:r>
    </w:p>
    <w:p>
      <w:pPr>
        <w:spacing w:after="0" w:line="200" w:lineRule="exact"/>
        <w:rPr>
          <w:sz w:val="20"/>
          <w:szCs w:val="20"/>
          <w:color w:val="auto"/>
        </w:rPr>
      </w:pPr>
    </w:p>
    <w:p>
      <w:pPr>
        <w:spacing w:after="0" w:line="28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46"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7" w:lineRule="exact"/>
        <w:rPr>
          <w:sz w:val="20"/>
          <w:szCs w:val="20"/>
          <w:color w:val="auto"/>
        </w:rPr>
      </w:pPr>
    </w:p>
    <w:p>
      <w:pPr>
        <w:ind w:right="20" w:firstLine="315"/>
        <w:spacing w:after="0" w:line="248" w:lineRule="auto"/>
        <w:rPr>
          <w:sz w:val="20"/>
          <w:szCs w:val="20"/>
          <w:color w:val="auto"/>
        </w:rPr>
      </w:pPr>
      <w:r>
        <w:rPr>
          <w:rFonts w:ascii="Times New Roman" w:cs="Times New Roman" w:eastAsia="Times New Roman" w:hAnsi="Times New Roman"/>
          <w:sz w:val="18"/>
          <w:szCs w:val="18"/>
          <w:color w:val="auto"/>
        </w:rPr>
        <w:t>An investment in our common stock is subject to risks inherent in our business. The material risks and uncertainties that management believes affect us are described below. Before making an investment decision, you should carefully consider the risks and uncertainties described below, together with all of the other information included or incorporated by reference herein. The risks and uncertainties described below are not the only ones facing us. Additional risks and uncertainties that management is not aware of or focused on or that management currently deems immaterial may also impair our business operations. If any of the events described in the risk factors should actually occur, our financial condition, results of operations and the value of our securities could be materially and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our business strategy.</w:t>
      </w:r>
    </w:p>
    <w:p>
      <w:pPr>
        <w:spacing w:after="0" w:line="152" w:lineRule="exact"/>
        <w:rPr>
          <w:sz w:val="20"/>
          <w:szCs w:val="20"/>
          <w:color w:val="auto"/>
        </w:rPr>
      </w:pPr>
    </w:p>
    <w:p>
      <w:pPr>
        <w:ind w:firstLine="315"/>
        <w:spacing w:after="0" w:line="246" w:lineRule="auto"/>
        <w:rPr>
          <w:sz w:val="20"/>
          <w:szCs w:val="20"/>
          <w:color w:val="auto"/>
        </w:rPr>
      </w:pPr>
      <w:r>
        <w:rPr>
          <w:rFonts w:ascii="Times New Roman" w:cs="Times New Roman" w:eastAsia="Times New Roman" w:hAnsi="Times New Roman"/>
          <w:sz w:val="18"/>
          <w:szCs w:val="18"/>
          <w:color w:val="auto"/>
        </w:rPr>
        <w:t>Our fundamental business strategy is centered on building a leading regional commercial and small business bank, focused on relationship-based, granular and diversified business on both sides of the balance sheet. Our near-term strategic priorities include (i) improving the funding mix, primarily by growing core deposits and paying down high cost wholesale funding; (ii) improving risk adjusted returns by re-positioning the balance sheet away from typically lower yielding transactional business such as residential mortgages and organically growing core commercial loans, which are generally higher-yielding; (iii) managing credit quality; (iv) investing in organic growth capabilities while managing the rate of increase in expenses; and (v) maintaining robust capital and liquidity. Our ability to execute on these strategic priorities depends on a number of factors, many of which are outside of our direct control. Some of the factors that impact our ability to execute on our strategic priorities are (i) our ability to attract and retain talent; (ii) competition in our markets; (iii) fiscal, monetary and regulatory policy and the macro-economic environment; (iv) the health of our primary markets; and (v) the availability and cost of capital. There is no guarantee that we will be able to successfully execute our strategic plans and fundamental business strategy.</w:t>
      </w:r>
    </w:p>
    <w:p>
      <w:pPr>
        <w:spacing w:after="0" w:line="128" w:lineRule="exact"/>
        <w:rPr>
          <w:sz w:val="20"/>
          <w:szCs w:val="20"/>
          <w:color w:val="auto"/>
        </w:rPr>
      </w:pPr>
    </w:p>
    <w:p>
      <w:pPr>
        <w:ind w:right="220" w:firstLine="315"/>
        <w:spacing w:after="0" w:line="252" w:lineRule="auto"/>
        <w:rPr>
          <w:sz w:val="20"/>
          <w:szCs w:val="20"/>
          <w:color w:val="auto"/>
        </w:rPr>
      </w:pPr>
      <w:r>
        <w:rPr>
          <w:rFonts w:ascii="Times New Roman" w:cs="Times New Roman" w:eastAsia="Times New Roman" w:hAnsi="Times New Roman"/>
          <w:sz w:val="18"/>
          <w:szCs w:val="18"/>
          <w:color w:val="auto"/>
        </w:rPr>
        <w:t>While acquisitions have not historically been a primary component of our business strategy, we may opportunistically consider potential acquisitions of financial institutions and complementary non-bank businesses. There are risks that may inhibit our ability to successfully execute such acquisitions, such as competition with other potential acquirers, the ability to obtain the required regulatory approvals in a timely matter or at all, the availability of capital and the successful integration of a consummated acquisition and realization of the expected benefits.</w:t>
      </w:r>
    </w:p>
    <w:p>
      <w:pPr>
        <w:spacing w:after="0" w:line="178" w:lineRule="exact"/>
        <w:rPr>
          <w:sz w:val="20"/>
          <w:szCs w:val="20"/>
          <w:color w:val="auto"/>
        </w:rPr>
      </w:pPr>
    </w:p>
    <w:p>
      <w:pPr>
        <w:ind w:right="4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financial institutions and financial services providers, which may adversely impact our ability to execute on strategic objectives, our growth or profitability.</w:t>
      </w:r>
    </w:p>
    <w:p>
      <w:pPr>
        <w:spacing w:after="0" w:line="87" w:lineRule="exact"/>
        <w:rPr>
          <w:sz w:val="20"/>
          <w:szCs w:val="20"/>
          <w:color w:val="auto"/>
        </w:rPr>
      </w:pPr>
    </w:p>
    <w:p>
      <w:pPr>
        <w:ind w:right="40" w:firstLine="315"/>
        <w:spacing w:after="0" w:line="247" w:lineRule="auto"/>
        <w:rPr>
          <w:sz w:val="20"/>
          <w:szCs w:val="20"/>
          <w:color w:val="auto"/>
        </w:rPr>
      </w:pPr>
      <w:r>
        <w:rPr>
          <w:rFonts w:ascii="Times New Roman" w:cs="Times New Roman" w:eastAsia="Times New Roman" w:hAnsi="Times New Roman"/>
          <w:sz w:val="18"/>
          <w:szCs w:val="18"/>
          <w:color w:val="auto"/>
        </w:rPr>
        <w:t>Although our geographic footprint is expanding, our business is currently concentrated in Florida and the New York tri-state area. Commercial and consumer banking in these markets is highly competitive. Our markets contain not only a large number of community and regional banks, but also a significant presence of the country's largest commercial banks. We compete with other state and national banks as well as savings and loan associations, savings banks and credit unions located in our markets as well as those targeting our markets digitally for deposits and loans. In addition, we compete with financial intermediaries, such as private credit funds, FinTech companies, consumer finance companies, marketplace lenders, mortgage banking companies, insurance companies, securities firms, mutual funds and several government agencies as well as major retailers, all actively engaged in providing various types of financial services. The variety of entities providing financial services to businesses and consumers, as well as the technologies and delivery channels through which those services are provided are rapidly evolving.</w:t>
      </w:r>
    </w:p>
    <w:p>
      <w:pPr>
        <w:spacing w:after="0" w:line="123" w:lineRule="exact"/>
        <w:rPr>
          <w:sz w:val="20"/>
          <w:szCs w:val="20"/>
          <w:color w:val="auto"/>
        </w:rPr>
      </w:pPr>
    </w:p>
    <w:p>
      <w:pPr>
        <w:ind w:right="60" w:firstLine="315"/>
        <w:spacing w:after="0" w:line="247" w:lineRule="auto"/>
        <w:rPr>
          <w:sz w:val="20"/>
          <w:szCs w:val="20"/>
          <w:color w:val="auto"/>
        </w:rPr>
      </w:pPr>
      <w:r>
        <w:rPr>
          <w:rFonts w:ascii="Times New Roman" w:cs="Times New Roman" w:eastAsia="Times New Roman" w:hAnsi="Times New Roman"/>
          <w:sz w:val="18"/>
          <w:szCs w:val="18"/>
          <w:color w:val="auto"/>
        </w:rPr>
        <w:t>The financial services industry is likely to become even more competitive as a result of legislative, regulatory and technological changes and continued consolidation. Increased competition among financial services companies may adversely affect our ability to market our products and services. Technology has lowered barriers to entry and made it possible for financial services providers to compete in our markets without a physical footprint and enabled non-bank providers to offer a growing variety of traditional and nontraditional alternatives, such as crowdfunding, digital wallets. cryptocurrencies, and money transfer services. Many of our competitors have fewer regulatory constraints and may have lower cost structures. Additionally, due to their size or particular technology capabilities, many competitors may offer a broader range of products and services or may be able to offer better pricing for certain products and services than we can.</w:t>
      </w: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18" w:name="page19"/>
    <w:bookmarkEnd w:id="18"/>
    <w:p>
      <w:pPr>
        <w:ind w:right="80" w:firstLine="315"/>
        <w:spacing w:after="0" w:line="288" w:lineRule="auto"/>
        <w:rPr>
          <w:sz w:val="20"/>
          <w:szCs w:val="20"/>
          <w:color w:val="auto"/>
        </w:rPr>
      </w:pPr>
      <w:r>
        <w:rPr>
          <w:rFonts w:ascii="Times New Roman" w:cs="Times New Roman" w:eastAsia="Times New Roman" w:hAnsi="Times New Roman"/>
          <w:sz w:val="16"/>
          <w:szCs w:val="16"/>
          <w:color w:val="auto"/>
        </w:rPr>
        <w:t>Our ability to compete successfully depends on a number of factors, including but not limited to (i) the ability to develop, maintain and build upon long-term customer relationships; (ii) our ability to pro-actively and quickly respond to technological change and emerging or unanticipated innovations in financial services; (iii) our ability to attract and retain talent; (iv) our ability to expand our market position or successfully enter new markets; (v) the scope, relevance and pricing of our products and services and our ability to respond quickly to changing customer preferences; (vi) the rate at which we introduce new products and services relative to our competitors; (vii) customer satisfaction with our level of service; and (viii) industry and general economic trends.</w:t>
      </w:r>
    </w:p>
    <w:p>
      <w:pPr>
        <w:spacing w:after="0" w:line="92"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color w:val="auto"/>
        </w:rPr>
        <w:t>Failure to perform well in any of these areas or in general to successfully respond to the competitive pressures we face could make it harder for us to attract and retain customers and significantly weaken our competitive position, which could adversely affect our ability to achieve strategic objectives, our growth and profitability, which, in turn, could harm our business, financial condition and results of operations.</w:t>
      </w:r>
    </w:p>
    <w:p>
      <w:pPr>
        <w:spacing w:after="0" w:line="109" w:lineRule="exact"/>
        <w:rPr>
          <w:sz w:val="20"/>
          <w:szCs w:val="20"/>
          <w:color w:val="auto"/>
        </w:rPr>
      </w:pPr>
    </w:p>
    <w:p>
      <w:pPr>
        <w:ind w:firstLine="31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Major disruptive events such as but not limited to hurricanes, fires or other weather-related events, social or health-care crises such as pandemics, political or social unrest, government shutdowns, geopolitical conflict, terrorist activity or other natural or man-made disasters could disrupt our operations or otherwise have adverse impacts on our customers, our business and results of operations.</w:t>
      </w:r>
    </w:p>
    <w:p>
      <w:pPr>
        <w:spacing w:after="0" w:line="99" w:lineRule="exact"/>
        <w:rPr>
          <w:sz w:val="20"/>
          <w:szCs w:val="20"/>
          <w:color w:val="auto"/>
        </w:rPr>
      </w:pPr>
    </w:p>
    <w:p>
      <w:pPr>
        <w:ind w:firstLine="315"/>
        <w:spacing w:after="0" w:line="247" w:lineRule="auto"/>
        <w:rPr>
          <w:sz w:val="20"/>
          <w:szCs w:val="20"/>
          <w:color w:val="auto"/>
        </w:rPr>
      </w:pPr>
      <w:r>
        <w:rPr>
          <w:rFonts w:ascii="Times New Roman" w:cs="Times New Roman" w:eastAsia="Times New Roman" w:hAnsi="Times New Roman"/>
          <w:sz w:val="18"/>
          <w:szCs w:val="18"/>
          <w:color w:val="auto"/>
        </w:rPr>
        <w:t>Our geographic markets in Florida and other coastal areas are particularly susceptible to severe weather, including hurricanes, flooding and damaging winds. The occurrence of a hurricane or other natural disaster, a man-made catastrophe such as terrorist activity, pandemic outbreaks and other health emergencies, political or social unrest, government shutdowns, U.S sovereign credit rating deterioration, geopolitical conflicts or other man-made or natural disasters could disrupt our operations or those of our clients or our work-force, result in damage to our facilities, jeopardize our ability to continue to provide essential services to our customers and negatively affect our customers and the local economies in which we operate. These events may lead to a decline in loan originations, an increase in deposit outflows, strain our liquidity position, reduce or destroy the value of collateral for our loans, particularly real estate, negatively impact the business operations of our customers, and cause an increase in delinquencies, foreclosures and loan losses. Our business, financial condition and results of operations may be materially, adversely impacted by these and other negative effects of such events.</w:t>
      </w:r>
    </w:p>
    <w:p>
      <w:pPr>
        <w:spacing w:after="0" w:line="66" w:lineRule="exact"/>
        <w:rPr>
          <w:sz w:val="20"/>
          <w:szCs w:val="20"/>
          <w:color w:val="auto"/>
        </w:rPr>
      </w:pPr>
    </w:p>
    <w:p>
      <w:pPr>
        <w:ind w:right="18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Both physical and transitional risks related to climate change or societal and governmental responses, could adversely affect our business reputation and performance, including indirectly through impacts on our customers.</w:t>
      </w:r>
    </w:p>
    <w:p>
      <w:pPr>
        <w:spacing w:after="0" w:line="100" w:lineRule="exact"/>
        <w:rPr>
          <w:sz w:val="20"/>
          <w:szCs w:val="20"/>
          <w:color w:val="auto"/>
        </w:rPr>
      </w:pPr>
    </w:p>
    <w:p>
      <w:pPr>
        <w:ind w:firstLine="315"/>
        <w:spacing w:after="0" w:line="246" w:lineRule="auto"/>
        <w:rPr>
          <w:sz w:val="20"/>
          <w:szCs w:val="20"/>
          <w:color w:val="auto"/>
        </w:rPr>
      </w:pPr>
      <w:r>
        <w:rPr>
          <w:rFonts w:ascii="Times New Roman" w:cs="Times New Roman" w:eastAsia="Times New Roman" w:hAnsi="Times New Roman"/>
          <w:sz w:val="18"/>
          <w:szCs w:val="18"/>
          <w:color w:val="auto"/>
        </w:rPr>
        <w:t>Governmental efforts to mitigate climate change and shifting consumer and business preference resulting from climate change concerns may require us and our customers to respond to new laws and regulations which may lead to cost increases, asset value reductions and operating process changes, as well as negatively impact our reputation. These impacts will vary depending on the customers' specific attributes, including reliance on or role in carbon intensive activities and may also affect us directly through a drop in demand for our products and services, reductions in creditworthiness, declines in collateral values, and the rising property and casualty insurance costs related to physical risks brought on by weather events or climate change, particularly in one of our primary market areas in Florida coastal areas which may increase our vulnerability to the ultimate impacts of climate change as compared to some of our competitors and our efforts to account for these risks may not fully protect us from negative impacts of new laws, regulations, behavioral changes, or evolving expectations of stakeholders including investors, customers, regulators, employees, and ratings agencies regarding our ESG practices. Divergent ideological and social views may create competing stakeholder, legislative, and regulatory scrutiny around ESG practices, potentially increasing costs or affecting operations. While we strive to take a balanced approach, stakeholder expectations and externally imposed requirements continue to evolve, remain uncertain, and are sometimes conflicting. If our ESG practices fail to meet these evolving rules or expectations, our reputation and ability to attract or retain employees, customers, and investors could be negatively impacted.</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and retain employees may adversely impact our ability to successfully execute our business strategy</w:t>
      </w:r>
    </w:p>
    <w:p>
      <w:pPr>
        <w:spacing w:after="0" w:line="139" w:lineRule="exact"/>
        <w:rPr>
          <w:sz w:val="20"/>
          <w:szCs w:val="20"/>
          <w:color w:val="auto"/>
        </w:rPr>
      </w:pPr>
    </w:p>
    <w:p>
      <w:pPr>
        <w:ind w:firstLine="315"/>
        <w:spacing w:after="0" w:line="247" w:lineRule="auto"/>
        <w:rPr>
          <w:sz w:val="20"/>
          <w:szCs w:val="20"/>
          <w:color w:val="auto"/>
        </w:rPr>
      </w:pPr>
      <w:r>
        <w:rPr>
          <w:rFonts w:ascii="Times New Roman" w:cs="Times New Roman" w:eastAsia="Times New Roman" w:hAnsi="Times New Roman"/>
          <w:sz w:val="18"/>
          <w:szCs w:val="18"/>
          <w:color w:val="auto"/>
        </w:rPr>
        <w:t>We believe that our continued growth and future success will depend in large part on the skills of our senior management team and other key personnel. We believe our senior management team possesses valuable knowledge about and experience in the banking industry that could be challenging to replicate. The composition of our senior management team and our other key personnel may change over time. Our success also depends on the experience and skills of other key personnel and on their relationships with the customers and communities they serve. C</w:t>
      </w:r>
      <w:r>
        <w:rPr>
          <w:rFonts w:ascii="Times New Roman" w:cs="Times New Roman" w:eastAsia="Times New Roman" w:hAnsi="Times New Roman"/>
          <w:sz w:val="18"/>
          <w:szCs w:val="18"/>
          <w:color w:val="252525"/>
        </w:rPr>
        <w:t>ompetition, general labor market dynamics and the 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transition around remote and hybrid work may also present challenges in recruiting and retaining talent. </w:t>
      </w:r>
      <w:r>
        <w:rPr>
          <w:rFonts w:ascii="Times New Roman" w:cs="Times New Roman" w:eastAsia="Times New Roman" w:hAnsi="Times New Roman"/>
          <w:sz w:val="18"/>
          <w:szCs w:val="18"/>
          <w:color w:val="000000"/>
        </w:rPr>
        <w:t>The loss of service of one or more of our executive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officers or key personnel, or the inability to recruit and retain qualified personnel in the future, could have an adverse effect on our business, financial condition or operating results.</w:t>
      </w: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19" w:name="page20"/>
    <w:bookmarkEnd w:id="19"/>
    <w:p>
      <w:pPr>
        <w:ind w:right="8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financial stability of other financial institutions and in particular other regional and mid-size banks could adversely affect our business, market valuation and results of operations.</w:t>
      </w:r>
    </w:p>
    <w:p>
      <w:pPr>
        <w:spacing w:after="0" w:line="87" w:lineRule="exact"/>
        <w:rPr>
          <w:sz w:val="20"/>
          <w:szCs w:val="20"/>
          <w:color w:val="auto"/>
        </w:rPr>
      </w:pPr>
    </w:p>
    <w:p>
      <w:pPr>
        <w:ind w:right="240" w:firstLine="315"/>
        <w:spacing w:after="0" w:line="247" w:lineRule="auto"/>
        <w:rPr>
          <w:sz w:val="20"/>
          <w:szCs w:val="20"/>
          <w:color w:val="auto"/>
        </w:rPr>
      </w:pPr>
      <w:r>
        <w:rPr>
          <w:rFonts w:ascii="Times New Roman" w:cs="Times New Roman" w:eastAsia="Times New Roman" w:hAnsi="Times New Roman"/>
          <w:sz w:val="18"/>
          <w:szCs w:val="18"/>
          <w:color w:val="auto"/>
        </w:rPr>
        <w:t>The actual or perceived financial instability of one or more other financial institutions, particularly but not necessarily limited to other regional and mid-size banks, may lead to a crisis in confidence in the financial system or particular sectors thereof, such as the regional and mid-size sector. This could lead to material unanticipated deposit outflows, threatening the safety and soundness of impacted financial institutions and/or significant market volatility and adversely impacting the stock prices of other publicly traded financial institutions, including the Company. Events such as these could materially adversely impact the Company’s liquidity, results of operations, business strategy, market valuation and capital. Moreover, the speed with which information spreads through news, social media and other sources on the Internet and the ease with which customers transact may amplify the onset of and negative effects from such perceptions.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and such capital may not be available when needed or at all.</w:t>
      </w:r>
    </w:p>
    <w:p>
      <w:pPr>
        <w:spacing w:after="0" w:line="152" w:lineRule="exact"/>
        <w:rPr>
          <w:sz w:val="20"/>
          <w:szCs w:val="20"/>
          <w:color w:val="auto"/>
        </w:rPr>
      </w:pPr>
    </w:p>
    <w:p>
      <w:pPr>
        <w:ind w:right="80" w:firstLine="315"/>
        <w:spacing w:after="0" w:line="246" w:lineRule="auto"/>
        <w:rPr>
          <w:sz w:val="20"/>
          <w:szCs w:val="20"/>
          <w:color w:val="auto"/>
        </w:rPr>
      </w:pPr>
      <w:r>
        <w:rPr>
          <w:rFonts w:ascii="Times New Roman" w:cs="Times New Roman" w:eastAsia="Times New Roman" w:hAnsi="Times New Roman"/>
          <w:sz w:val="18"/>
          <w:szCs w:val="18"/>
          <w:color w:val="auto"/>
        </w:rPr>
        <w:t>BankUnited, Inc. as a BHC and BankUnited N.A. are required by Federal banking agencies to maintain specified levels of capital. At a minimum, our capital policy requires us to maintain capital sufficient to meet the “well-capitalized” standard established by capital adequacy guidelines and the regulatory framework for prompt corrective action. While we anticipate that our current capital resources will satisfy our capital requirements for the foreseeable future, we may, at some point need to raise additional capital to support current operations or continued growth. In addition, we may elect to raise capital for strategic reasons even when we are not required to do so. As a publicly traded company, the most likely source of additional capital is the issuance of equity or debt instruments in the capital markets. Our ability to raise capital on favorable terms, or at all, will depend on a variety of factors, many of which are outside of our control, including market conditions, credit availability, our credit rating and credit capacity, and marketability of our stock. Accordingly, we cannot be assured of being able to raise capital when needed or on favorable terms. In addition, if we needed to raise capital in the future, we may have to do so when many other financial institutions are also seeking to raise capital and would then have to compete with those institutions for investors. The inability to raise additional capital on favorable terms when needed could have a materially adverse effect on our business, financial condition and results of operations. In addition, the issuance of equity to raise capital may dilute the shares of our current shareholders.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 downgrade of our credit rating could increase our cost of capital or place limitations on business activities.</w:t>
      </w:r>
    </w:p>
    <w:p>
      <w:pPr>
        <w:spacing w:after="0" w:line="152" w:lineRule="exact"/>
        <w:rPr>
          <w:sz w:val="20"/>
          <w:szCs w:val="20"/>
          <w:color w:val="auto"/>
        </w:rPr>
      </w:pPr>
    </w:p>
    <w:p>
      <w:pPr>
        <w:ind w:right="160" w:firstLine="315"/>
        <w:spacing w:after="0" w:line="247" w:lineRule="auto"/>
        <w:rPr>
          <w:sz w:val="20"/>
          <w:szCs w:val="20"/>
          <w:color w:val="auto"/>
        </w:rPr>
      </w:pPr>
      <w:r>
        <w:rPr>
          <w:rFonts w:ascii="Times New Roman" w:cs="Times New Roman" w:eastAsia="Times New Roman" w:hAnsi="Times New Roman"/>
          <w:sz w:val="18"/>
          <w:szCs w:val="18"/>
          <w:color w:val="auto"/>
        </w:rPr>
        <w:t>NRSROs regularly evaluate us, and their ratings are based on a number of factors, including our financial strength and conditions affecting the financial services industry generally. In general, ratings agencies base their ratings on many quantitative and qualitative factors, including capital adequacy, liquidity, asset quality, business mix and level and quality of earnings and management, and we may not be able to maintain our current credit ratings. The ratings assigned to the Bank and the Company remain subject to change at any time, and it is possible that any ratings agency will take action to downgrade the Bank and the Company in the future. Additionally, ratings agencies may also make substantial changes to their ratings policies and practices, which may affect our credit ratings. A downgrade of our credit rating, particularly to a level below investment grade, could adversely impact the liquidity or value of our rated securities, our ability to access the capital or certain short-term funding markets, and our cost of capital. Additionally, certain commercial customers could be prohibited from placing deposits with us, impacting our liquidity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As a lender, our business is highly susceptible to credit risk.</w:t>
      </w:r>
    </w:p>
    <w:p>
      <w:pPr>
        <w:spacing w:after="0" w:line="139" w:lineRule="exact"/>
        <w:rPr>
          <w:sz w:val="20"/>
          <w:szCs w:val="20"/>
          <w:color w:val="auto"/>
        </w:rPr>
      </w:pPr>
    </w:p>
    <w:p>
      <w:pPr>
        <w:ind w:right="60" w:firstLine="315"/>
        <w:spacing w:after="0" w:line="249" w:lineRule="auto"/>
        <w:rPr>
          <w:sz w:val="20"/>
          <w:szCs w:val="20"/>
          <w:color w:val="auto"/>
        </w:rPr>
      </w:pPr>
      <w:r>
        <w:rPr>
          <w:rFonts w:ascii="Times New Roman" w:cs="Times New Roman" w:eastAsia="Times New Roman" w:hAnsi="Times New Roman"/>
          <w:sz w:val="18"/>
          <w:szCs w:val="18"/>
          <w:color w:val="auto"/>
        </w:rPr>
        <w:t>As a lender, we are exposed to the risk that our customers will be unable to repay their loans according to their terms and that the collateral securing the payment of their loans, if any, may be insufficient to ensure repayment. Credit losses are inherent in the business of making loans. We are also subject to credit risk that is embedded in our securities portfolio. Our credit risk management framework inclusive of our underwriting standards, procedures and policies may not prevent us from incurring substantial credit losses, particularly if economic or market conditions deteriorate. It is difficult to determine or forecast the many ways in which a decline in economic or market conditions may impact the credit quality of our assets.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ACL may not be adequate to cover actual credit losses.</w:t>
      </w:r>
    </w:p>
    <w:p>
      <w:pPr>
        <w:spacing w:after="0" w:line="152" w:lineRule="exact"/>
        <w:rPr>
          <w:sz w:val="20"/>
          <w:szCs w:val="20"/>
          <w:color w:val="auto"/>
        </w:rPr>
      </w:pPr>
    </w:p>
    <w:p>
      <w:pPr>
        <w:ind w:firstLine="315"/>
        <w:spacing w:after="0" w:line="293" w:lineRule="auto"/>
        <w:rPr>
          <w:sz w:val="20"/>
          <w:szCs w:val="20"/>
          <w:color w:val="auto"/>
        </w:rPr>
      </w:pPr>
      <w:r>
        <w:rPr>
          <w:rFonts w:ascii="Times New Roman" w:cs="Times New Roman" w:eastAsia="Times New Roman" w:hAnsi="Times New Roman"/>
          <w:sz w:val="16"/>
          <w:szCs w:val="16"/>
          <w:color w:val="auto"/>
        </w:rPr>
        <w:t>We maintain an ACL that represents management's estimate of current expected credit losses, or the amount of amortized cost basis not expected to be collected, on our loan portfolio and the amount of credit loss impairment on our available for sale securities portfolio. Determining the amount of the ACL is complex and requires extensive judgment by management about matters that are inherently subjective and uncertain. The measurement of expected credit losses encompasses information about historical events, current conditions and reasonable and supportable economic forecasts. Factors that may be considered in</w:t>
      </w: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1" w:right="339" w:bottom="1440" w:gutter="0" w:footer="0" w:header="0"/>
        </w:sectPr>
      </w:pPr>
    </w:p>
    <w:bookmarkStart w:id="20" w:name="page21"/>
    <w:bookmarkEnd w:id="20"/>
    <w:p>
      <w:pPr>
        <w:ind w:right="40"/>
        <w:spacing w:after="0" w:line="252" w:lineRule="auto"/>
        <w:rPr>
          <w:sz w:val="20"/>
          <w:szCs w:val="20"/>
          <w:color w:val="auto"/>
        </w:rPr>
      </w:pPr>
      <w:r>
        <w:rPr>
          <w:rFonts w:ascii="Times New Roman" w:cs="Times New Roman" w:eastAsia="Times New Roman" w:hAnsi="Times New Roman"/>
          <w:sz w:val="18"/>
          <w:szCs w:val="18"/>
          <w:color w:val="auto"/>
        </w:rPr>
        <w:t>determining the amount of the ACL include, but are not necessarily limited to, product or collateral type, industry, geography, internal risk rating, credit characteristics such as credit scores or collateral values, delinquency rates, historical or expected credit loss patterns and other quantitative and qualitative factors considered by management to have an impact on the adequacy of the ACL and the ability of borrowers to repay their loans. The adequacy of the ACL is also dependent on the effectiveness of the underlying models used in determining the estimate.</w:t>
      </w:r>
    </w:p>
    <w:p>
      <w:pPr>
        <w:spacing w:after="0" w:line="116" w:lineRule="exact"/>
        <w:rPr>
          <w:sz w:val="20"/>
          <w:szCs w:val="20"/>
          <w:color w:val="auto"/>
        </w:rPr>
      </w:pPr>
    </w:p>
    <w:p>
      <w:pPr>
        <w:ind w:right="20" w:firstLine="315"/>
        <w:spacing w:after="0" w:line="247" w:lineRule="auto"/>
        <w:rPr>
          <w:sz w:val="20"/>
          <w:szCs w:val="20"/>
          <w:color w:val="auto"/>
        </w:rPr>
      </w:pPr>
      <w:r>
        <w:rPr>
          <w:rFonts w:ascii="Times New Roman" w:cs="Times New Roman" w:eastAsia="Times New Roman" w:hAnsi="Times New Roman"/>
          <w:sz w:val="18"/>
          <w:szCs w:val="18"/>
          <w:color w:val="auto"/>
        </w:rPr>
        <w:t>If management's assumptions and judgments prove to be incorrect, our credit loss models prove to be inaccurate or our processes and controls governing the determination of the amount of the ACL prove ineffective, our ACL may be insufficient and we may be required to increase our ACL. In addition, regulatory authorities periodically review our ACL and may require us to increase our provision for credit losses or recognize further loan charge-offs, based on judgments different from those of our management. Adverse or volatile actual or forecasted economic conditions could make management's estimate even more complex and difficult to determine. Any increase in our ACL will result in a decrease in net income and capital and could have a material adverse effect on our financial condition and results of operations. See Item 7 "Management's Discussion and Analysis of Financial Condition and Results of Operations—Analysis of the Allowance for Credit Losses" and "Management's Discussion and Analysis of Financial Condition and Results of Operations—Critical Accounting Policies and Estimates—Allowance for Credit Losses."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accuracy and completeness of information about clients and counterparties in making credit decisions.</w:t>
      </w:r>
    </w:p>
    <w:p>
      <w:pPr>
        <w:spacing w:after="0" w:line="152"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with clients and counterparties, we may rely on information furnished by or on behalf of clients and counterparties, including financial statements and other financial information. We also may rely on representations of clients and counterparties as to the accuracy and completeness of that information and, with respect to financial statements, on reports of independent auditors.</w:t>
      </w:r>
    </w:p>
    <w:p>
      <w:pPr>
        <w:spacing w:after="0" w:line="175" w:lineRule="exact"/>
        <w:rPr>
          <w:sz w:val="20"/>
          <w:szCs w:val="20"/>
          <w:color w:val="auto"/>
        </w:rPr>
      </w:pPr>
    </w:p>
    <w:p>
      <w:pPr>
        <w:ind w:right="14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credit quality of a substantial portion of our assets and our results of operations are affected by residential and commercial real estate values and the level of residential and commercial real estate sales and rental activity.</w:t>
      </w:r>
    </w:p>
    <w:p>
      <w:pPr>
        <w:spacing w:after="0" w:line="87" w:lineRule="exact"/>
        <w:rPr>
          <w:sz w:val="20"/>
          <w:szCs w:val="20"/>
          <w:color w:val="auto"/>
        </w:rPr>
      </w:pPr>
    </w:p>
    <w:p>
      <w:pPr>
        <w:ind w:firstLine="315"/>
        <w:spacing w:after="0" w:line="278" w:lineRule="auto"/>
        <w:rPr>
          <w:sz w:val="20"/>
          <w:szCs w:val="20"/>
          <w:color w:val="auto"/>
        </w:rPr>
      </w:pPr>
      <w:r>
        <w:rPr>
          <w:rFonts w:ascii="Times New Roman" w:cs="Times New Roman" w:eastAsia="Times New Roman" w:hAnsi="Times New Roman"/>
          <w:sz w:val="16"/>
          <w:szCs w:val="16"/>
          <w:color w:val="auto"/>
        </w:rPr>
        <w:t>A material portion of our loans are secured by residential or commercial real estate. The ability of our borrowers to repay their obligations and our financial results may therefore be adversely affected by changes in real estate values or in real estate market dynamics. Commercial real estate valuations in particular are highly subjective, as they are based on many assumptions. Such valuations can be significantly affected over relatively short periods of time by changes in business climate, economic conditions, demographic and market trends such as the impact of the ongoing shift to online shopping on retail properties or the evolution of remote and hybrid work on office properties. The value of commercial real estate and ability of commercial real estate borrowers to service debt is also sensitive to occupancy rates, the level of rents, regulatory and tax law changes, interest rates, other operating costs and, in many cases, the results of operations of businesses and other occupants of the real property. The properties securing income-producing investor real estate loans may not be fully leased at the origination of the loans or vacancies may arise during the terms of the loans. A borrower's ability to repay these loans is dependent upon stabilization of the properties and additional leasing through the life of the loan or the borrower's successful operation of a business. Weak economic conditions or demographic and market trends may impair a borrower's business operations, lead to elevated vacancy rates or lease turnover, slow the execution of new leases or result in falling rents. In particular, the office segment continues to be impacted by evolving trends around remote or hybrid work. The ultimate outcome of this trend and, as a result, the level of future demand for office space, remains uncertain. Lease turnover may increase, and tenants may reduce the amount of space leased when existing leases expire. Lower occupancy rates may lead to lower rents and lower valuations of office buildings. These factors could lead to deterioration in fundamentals underlying some of our commercial real estate loans. A sustained higher interest rate environment as well as rising property and casualty insurance and other operating costs have negatively impacted and may continue to negatively impact operating cash flows for some borrowers and the ability of those borrowers to service or refinance outstanding debt. These factors could result in further deterioration in the fundamentals underlying the commercial real estate market and the deterioration in value of some of our loans or the underlying collateral and ultimately to higher loan losses.</w:t>
      </w:r>
    </w:p>
    <w:p>
      <w:pPr>
        <w:spacing w:after="0" w:line="310" w:lineRule="exact"/>
        <w:rPr>
          <w:sz w:val="20"/>
          <w:szCs w:val="20"/>
          <w:color w:val="auto"/>
        </w:rPr>
      </w:pPr>
    </w:p>
    <w:p>
      <w:pPr>
        <w:ind w:right="20" w:firstLine="315"/>
        <w:spacing w:after="0" w:line="252" w:lineRule="auto"/>
        <w:rPr>
          <w:sz w:val="20"/>
          <w:szCs w:val="20"/>
          <w:color w:val="auto"/>
        </w:rPr>
      </w:pPr>
      <w:r>
        <w:rPr>
          <w:rFonts w:ascii="Times New Roman" w:cs="Times New Roman" w:eastAsia="Times New Roman" w:hAnsi="Times New Roman"/>
          <w:sz w:val="18"/>
          <w:szCs w:val="18"/>
          <w:color w:val="auto"/>
        </w:rPr>
        <w:t>Similarly, residential real estate valuations can be impacted by housing trends, demographic trends, the availability of financing and property and casualty insurance at reasonable rates, the supply of available housing, governmental policy regarding housing and housing finance and general economic conditions affecting consumers. Real estate values may also be impacted by weather-related events and other man-made or natural disasters, or ultimately, by the impact of climate change.</w:t>
      </w:r>
    </w:p>
    <w:p>
      <w:pPr>
        <w:spacing w:after="0" w:line="116" w:lineRule="exact"/>
        <w:rPr>
          <w:sz w:val="20"/>
          <w:szCs w:val="20"/>
          <w:color w:val="auto"/>
        </w:rPr>
      </w:pPr>
    </w:p>
    <w:p>
      <w:pPr>
        <w:ind w:right="140" w:firstLine="315"/>
        <w:spacing w:after="0" w:line="256" w:lineRule="auto"/>
        <w:rPr>
          <w:sz w:val="20"/>
          <w:szCs w:val="20"/>
          <w:color w:val="auto"/>
        </w:rPr>
      </w:pPr>
      <w:r>
        <w:rPr>
          <w:rFonts w:ascii="Times New Roman" w:cs="Times New Roman" w:eastAsia="Times New Roman" w:hAnsi="Times New Roman"/>
          <w:sz w:val="18"/>
          <w:szCs w:val="18"/>
          <w:color w:val="auto"/>
        </w:rPr>
        <w:t>We make credit and reserve decisions based on current and projected real estate values, the current conditions of borrowers, properties or projects and our expectations for the future. If real estate values or fundamentals underlying commercial or residential real estate decline, we could experience higher delinquencies and charge-offs beyond that provided for in the ACL.</w:t>
      </w: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1" w:name="page22"/>
    <w:bookmarkEnd w:id="21"/>
    <w:p>
      <w:pPr>
        <w:ind w:right="80" w:firstLine="315"/>
        <w:spacing w:after="0" w:line="249" w:lineRule="auto"/>
        <w:rPr>
          <w:sz w:val="20"/>
          <w:szCs w:val="20"/>
          <w:color w:val="auto"/>
        </w:rPr>
      </w:pPr>
      <w:r>
        <w:rPr>
          <w:rFonts w:ascii="Times New Roman" w:cs="Times New Roman" w:eastAsia="Times New Roman" w:hAnsi="Times New Roman"/>
          <w:sz w:val="18"/>
          <w:szCs w:val="18"/>
          <w:color w:val="auto"/>
        </w:rPr>
        <w:t>The underlying collateral for a significant portion of the securities in our investment portfolio also consists of commercial or residential real estate. While we typically invest in senior tranches of these securities and their structures provide significant credit enhancement, the value and performance of underlying collateral is subject to the same risks described above. A deterioration in the value or performance of underlying collateral to an extent that credit enhancement inherent in the structure of the securities is insufficient to protect us from underlying collateral losses would result in the recognition of impairment losses and adversely impact our financial condition, results of operations and capital.</w:t>
      </w:r>
    </w:p>
    <w:p>
      <w:pPr>
        <w:spacing w:after="0" w:line="184" w:lineRule="exact"/>
        <w:rPr>
          <w:sz w:val="20"/>
          <w:szCs w:val="20"/>
          <w:color w:val="auto"/>
        </w:rPr>
      </w:pPr>
    </w:p>
    <w:p>
      <w:pPr>
        <w:ind w:right="260" w:firstLine="31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Since we engage in lending secured by real estate, we may be forced to foreclose on the collateral property and thereby be subject to risks associated with the ownership of commercial or residential real property, which could have an adverse effect on our business, financial condition or results of operations.</w:t>
      </w:r>
    </w:p>
    <w:p>
      <w:pPr>
        <w:spacing w:after="0" w:line="112" w:lineRule="exact"/>
        <w:rPr>
          <w:sz w:val="20"/>
          <w:szCs w:val="20"/>
          <w:color w:val="auto"/>
        </w:rPr>
      </w:pPr>
    </w:p>
    <w:p>
      <w:pPr>
        <w:ind w:right="80" w:firstLine="315"/>
        <w:spacing w:after="0" w:line="283" w:lineRule="auto"/>
        <w:rPr>
          <w:sz w:val="20"/>
          <w:szCs w:val="20"/>
          <w:color w:val="auto"/>
        </w:rPr>
      </w:pPr>
      <w:r>
        <w:rPr>
          <w:rFonts w:ascii="Times New Roman" w:cs="Times New Roman" w:eastAsia="Times New Roman" w:hAnsi="Times New Roman"/>
          <w:sz w:val="16"/>
          <w:szCs w:val="16"/>
          <w:color w:val="auto"/>
        </w:rPr>
        <w:t>A significant portion of our loan portfolio is secured by residential or commercial real property. During the ordinary course of business, we may foreclose on and take title to properties securing certain loans, in which case, we are exposed to the risks and costs inherent in the ownership of real estate. The amount that we, as a mortgagee, may realize after a default is dependent upon factors outside of our control, including: (i) general or local economic conditions; (ii) sub-market property values and supply/demand dynamics; (iii) interest rates; (iv) costs of ownership such as real estate taxes, insurance, maintenance; (v) governmental rules and regulations such as but not limited to zoning laws; (vi) natural or man-made disasters; (vii) political or social unrest, crime levels and other conditions in sub-markets or neighborhoods where property is located; and (viii) the ability to maintain occupancy particularly of commercial properties. Additionally, bank-owned properties obtained in foreclosure often sell at a discount to the price that might otherwise be obtained in the market.</w:t>
      </w:r>
    </w:p>
    <w:p>
      <w:pPr>
        <w:spacing w:after="0" w:line="160" w:lineRule="exact"/>
        <w:rPr>
          <w:sz w:val="20"/>
          <w:szCs w:val="20"/>
          <w:color w:val="auto"/>
        </w:rPr>
      </w:pPr>
    </w:p>
    <w:p>
      <w:pPr>
        <w:ind w:right="12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geographic concentration of our markets in Florida and the New York Tri-State area makes our business highly susceptible to local conditions in those markets.</w:t>
      </w:r>
    </w:p>
    <w:p>
      <w:pPr>
        <w:spacing w:after="0" w:line="100" w:lineRule="exact"/>
        <w:rPr>
          <w:sz w:val="20"/>
          <w:szCs w:val="20"/>
          <w:color w:val="auto"/>
        </w:rPr>
      </w:pPr>
    </w:p>
    <w:p>
      <w:pPr>
        <w:ind w:right="80" w:firstLine="315"/>
        <w:spacing w:after="0" w:line="279" w:lineRule="auto"/>
        <w:rPr>
          <w:sz w:val="20"/>
          <w:szCs w:val="20"/>
          <w:color w:val="auto"/>
        </w:rPr>
      </w:pPr>
      <w:r>
        <w:rPr>
          <w:rFonts w:ascii="Times New Roman" w:cs="Times New Roman" w:eastAsia="Times New Roman" w:hAnsi="Times New Roman"/>
          <w:sz w:val="16"/>
          <w:szCs w:val="16"/>
          <w:color w:val="auto"/>
        </w:rPr>
        <w:t>While we are expanding our geographic footprint, our operations remain concentrated in Florida and the New York Tri-State area. Additionally, a significant portion of our loans secured by real estate are secured by properties in these geographic regions. The ability of our borrowers to repay their loans and the value of the collateral securing such loans may be significantly affected by economic and market conditions as well as demographic trends, the regulatory environment and tax policy in these regions, which could differ from broader national dynamics. Many of our customers in Florida have incurred or are likely to incur significantly higher property and casualty insurance premiums on their properties. This may adversely affect real estate sales and property values in Florida or negatively impact borrowers' operating cash flows or debt service capability. If, in the future, borrowers are unable to obtain property and casualty insurance, they may be unable to repay their loans in the event of catastrophic events such as hurricanes. Florida is more vulnerable to severe weather events like hurricanes than some regions of the country and may also be more susceptible in the future to the physical risks of climate change or rising sea levels. The New York region has, in the past, been a target of terrorist activity and social unrest; these events can have adverse impacts on our business operations and those of our customers. While we are not directly engaged in international business activities, businesses in both Florida and New York may be more likely than those in some other regions to be engaged in international trade and commerce, making them more susceptible to international economic disruption and unrest. Adverse regional demographic trends and tax or regulatory policy can also lead to a decline in demand for our loan or deposit products. Recently, the New York region has experienced population declines while Florida has experienced positive demographic trends.</w:t>
      </w:r>
    </w:p>
    <w:p>
      <w:pPr>
        <w:spacing w:after="0" w:line="374" w:lineRule="exact"/>
        <w:rPr>
          <w:sz w:val="20"/>
          <w:szCs w:val="20"/>
          <w:color w:val="auto"/>
        </w:rPr>
      </w:pPr>
    </w:p>
    <w:p>
      <w:pPr>
        <w:ind w:right="24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portfolio of operating lease equipment is exposed to fluctuations in the demand for and valuation of the underlying assets. Many of these assets are in service to the fossil fuel industry, and subject to transition risks related to climate change.</w:t>
      </w:r>
    </w:p>
    <w:p>
      <w:pPr>
        <w:spacing w:after="0" w:line="87" w:lineRule="exact"/>
        <w:rPr>
          <w:sz w:val="20"/>
          <w:szCs w:val="20"/>
          <w:color w:val="auto"/>
        </w:rPr>
      </w:pPr>
    </w:p>
    <w:p>
      <w:pPr>
        <w:ind w:right="60" w:firstLine="315"/>
        <w:spacing w:after="0" w:line="247" w:lineRule="auto"/>
        <w:rPr>
          <w:sz w:val="20"/>
          <w:szCs w:val="20"/>
          <w:color w:val="auto"/>
        </w:rPr>
      </w:pPr>
      <w:r>
        <w:rPr>
          <w:rFonts w:ascii="Times New Roman" w:cs="Times New Roman" w:eastAsia="Times New Roman" w:hAnsi="Times New Roman"/>
          <w:sz w:val="18"/>
          <w:szCs w:val="18"/>
          <w:color w:val="auto"/>
        </w:rPr>
        <w:t>Although we have been reducing our exposure to this business, our equipment leasing business is exposed to asset risk resulting from ownership of the equipment on operating lease. Asset risk arises from fluctuations in supply and demand for the underlying leased equipment. We are exposed to the risk that, at the end of the lease term or in the event of early termination, the value of the asset will be lower than expected, resulting in reduced future lease income over the remaining life of the asset or a lower sale value, which could lead to impairment charges or operating losses. A significant portion of our equipment under operating lease consists of railcars and other equipment used directly or indirectly by the fossil fuel industry. Demand for this equipment, rental rates and its valuation are heavily influenced by conditions in the energy industry and the impact of transition to a lower-carbon economy including related regulation and societal norms.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inherently highly susceptible to interest rate risk.</w:t>
      </w:r>
    </w:p>
    <w:p>
      <w:pPr>
        <w:spacing w:after="0" w:line="152"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Our business and financial performance are materially impacted by market interest rates and movements in those rates. Since a high percentage of our assets and liabilities are interest bearing or otherwise sensitive in value to changes in interest rates, changes in rates, in the shape of the yield curve or in spreads between different types of rates can have a material impact</w:t>
      </w:r>
    </w:p>
    <w:p>
      <w:pPr>
        <w:spacing w:after="0" w:line="200" w:lineRule="exact"/>
        <w:rPr>
          <w:sz w:val="20"/>
          <w:szCs w:val="20"/>
          <w:color w:val="auto"/>
        </w:rPr>
      </w:pPr>
    </w:p>
    <w:p>
      <w:pPr>
        <w:spacing w:after="0" w:line="3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22" w:name="page23"/>
    <w:bookmarkEnd w:id="22"/>
    <w:p>
      <w:pPr>
        <w:spacing w:after="0" w:line="246" w:lineRule="auto"/>
        <w:rPr>
          <w:sz w:val="20"/>
          <w:szCs w:val="20"/>
          <w:color w:val="auto"/>
        </w:rPr>
      </w:pPr>
      <w:r>
        <w:rPr>
          <w:rFonts w:ascii="Times New Roman" w:cs="Times New Roman" w:eastAsia="Times New Roman" w:hAnsi="Times New Roman"/>
          <w:sz w:val="18"/>
          <w:szCs w:val="18"/>
          <w:color w:val="auto"/>
        </w:rPr>
        <w:t>on our financial condition and results of operations and the values of our assets and liabilities. Changes in the value of investment securities available for sale and certain derivatives directly impact equity through adjustments of accumulated other comprehensive income and changes in the values of certain other assets and liabilities may directly or indirectly impact earnings. Changes in the values of assets and liabilities brought about by changes in interest rates, even those that do not directly impact reported GAAP or regulatory capital levels, may affect investors’ perceptions of the value of the Company, rating agency opinions, or customers’ perceptions of the Company’s financial strength and stability, which could result in unanticipated deposit outflows or other adverse effects. Interest rates are highly sensitive to many factors beyond our control and which we may not be able to anticipate, including general economic conditions and the monetary and fiscal policies of various governmental authorities, particularly the Federal Reserve Board. The impact of changes in interest rates on our business and financial performance may be exacerbated if the magnitude, direction, or pace of those changes exceeds historical experience or market expectations.</w:t>
      </w:r>
    </w:p>
    <w:p>
      <w:pPr>
        <w:spacing w:after="0" w:line="128" w:lineRule="exact"/>
        <w:rPr>
          <w:sz w:val="20"/>
          <w:szCs w:val="20"/>
          <w:color w:val="auto"/>
        </w:rPr>
      </w:pPr>
    </w:p>
    <w:p>
      <w:pPr>
        <w:ind w:right="100" w:firstLine="315"/>
        <w:spacing w:after="0" w:line="212" w:lineRule="exact"/>
        <w:rPr>
          <w:sz w:val="20"/>
          <w:szCs w:val="20"/>
          <w:color w:val="auto"/>
        </w:rPr>
      </w:pPr>
      <w:r>
        <w:rPr>
          <w:rFonts w:ascii="Times New Roman" w:cs="Times New Roman" w:eastAsia="Times New Roman" w:hAnsi="Times New Roman"/>
          <w:sz w:val="18"/>
          <w:szCs w:val="18"/>
          <w:color w:val="auto"/>
        </w:rPr>
        <w:t>Our earnings and cash flows depend to a great extent upon the level of our net interest income. Net interest income represents the difference between the interest income we earn on loans, investments and other interest earning assets, and the interest we pay on interest bearing liabilities, such as deposits and borrowings. A flat or inverted yield curve or tightening credit spreads may constrain our ability to deploy assets at favorable yields and may reduce the spread between the yield on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assets and the cost of interest-bearing liabilities, placing downward pressure on our net interest margin and net interest income. Our deposit costs are generally correlated with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interest rates; increases in short-term interest rates or generally tightening liquidity conditions may exert upward pressure on the rates we must pay to attract and retain deposits. Changes in interest rates can increase or decrease our net interest income, because different types of assets and liabilities may react differently, and at different times, to market interest rate changes. In a rising interest rate environment, if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liabilities mature or reprice more rapidly than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assets, our net interest income may decline. In a declining interest rate environment, if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assets mature or reprice more rapidly than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liabilities, our net interest income may likewise be adversely affected. An increase in interest rates may also reduce the demand for loans and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deposit products, slow loan repayment activity, and negatively affect borrowers’ ability to meet their contractual obligations. A decrease in the general level of interest rates may affect us through, among other things, increased prepayments on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yielding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loans and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 Competitive conditions may also impact the interest rates we are able to earn on new loans or are required to pay on deposits, negatively impacting both our ability to grow loans and deposits and our net interest income. In addition, our ability to manage interest rate risk may be adversely affected by changes in depositor behavior that differ from historical patterns, including changes in the timing, magnitude, or sensitivity of deposit movements in response to interest rate changes. Rapid or unanticipated movements in interest rates, changes in the shape of the yield curve, or changes in spreads between different types of interest rates could have an adverse effect on our net interest margin and results of operations.</w:t>
      </w:r>
    </w:p>
    <w:p>
      <w:pPr>
        <w:spacing w:after="0" w:line="128" w:lineRule="exact"/>
        <w:rPr>
          <w:sz w:val="20"/>
          <w:szCs w:val="20"/>
          <w:color w:val="auto"/>
        </w:rPr>
      </w:pPr>
    </w:p>
    <w:p>
      <w:pPr>
        <w:ind w:firstLine="315"/>
        <w:spacing w:after="0" w:line="246" w:lineRule="auto"/>
        <w:rPr>
          <w:sz w:val="20"/>
          <w:szCs w:val="20"/>
          <w:color w:val="auto"/>
        </w:rPr>
      </w:pPr>
      <w:r>
        <w:rPr>
          <w:rFonts w:ascii="Times New Roman" w:cs="Times New Roman" w:eastAsia="Times New Roman" w:hAnsi="Times New Roman"/>
          <w:sz w:val="18"/>
          <w:szCs w:val="18"/>
          <w:color w:val="auto"/>
        </w:rPr>
        <w:t>We attempt to manage interest rate risk by monitoring and managing the rates, maturity, repricing, mix and balances of the different types of interest earning assets and interest bearing liabilities and through the use of hedging instruments; however, interest rate risk management techniques are not precise, and we may not be able to successfully manage our interest rate risk. The modeling and measurement techniques we use to assess and manage interest rate risk rely on a variety of assumptions, many of which are based on historical relationships, trends, and expectations, and may not accurately reflect or predict the impact of future interest rate movements or economic conditions. Assumptions regarding depositor behavior are an integral component of our interest rate risk management processes, and changes in customer behavior, increased availability of alternative financial products, technological advances that facilitate the movement of funds, and ongoing changes in the financial services industry have made such behavior more difficult to predict. . See Item 7 "Management's Discussion and Analysis of Financial Condition and Results of Operations—Interest Rate Risk" for a discussion on the methodology and assumptions used by the Company in managing its interest rate risk.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33" w:lineRule="exact"/>
        <w:rPr>
          <w:sz w:val="20"/>
          <w:szCs w:val="20"/>
          <w:color w:val="auto"/>
        </w:rPr>
      </w:pPr>
    </w:p>
    <w:p>
      <w:pPr>
        <w:ind w:right="74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failure to maintain adequate liquidity could adversely affect our ability to sustain normal operations, our financial condition and results of operations.</w:t>
      </w:r>
    </w:p>
    <w:p>
      <w:pPr>
        <w:spacing w:after="0" w:line="100" w:lineRule="exact"/>
        <w:rPr>
          <w:sz w:val="20"/>
          <w:szCs w:val="20"/>
          <w:color w:val="auto"/>
        </w:rPr>
      </w:pPr>
    </w:p>
    <w:p>
      <w:pPr>
        <w:ind w:firstLine="315"/>
        <w:spacing w:after="0" w:line="247" w:lineRule="auto"/>
        <w:rPr>
          <w:sz w:val="20"/>
          <w:szCs w:val="20"/>
          <w:color w:val="auto"/>
        </w:rPr>
      </w:pPr>
      <w:r>
        <w:rPr>
          <w:rFonts w:ascii="Times New Roman" w:cs="Times New Roman" w:eastAsia="Times New Roman" w:hAnsi="Times New Roman"/>
          <w:sz w:val="18"/>
          <w:szCs w:val="18"/>
          <w:color w:val="auto"/>
        </w:rPr>
        <w:t>Effective liquidity management is essential for the operation of our business. We require sufficient liquidity to meet customer loan requests, customer deposit maturities and withdrawals and other cash commitments under both normal operating conditions and under extraordinary or unpredictable circumstances. Our access to funding sources in amounts adequate to finance our activities on terms that are acceptable to us could be impaired by factors or events that affect us specifically, other financial institutions, or the financial services industry or economy generally. Factors that could detrimentally impact our access to liquidity at an acceptable price, or at all include, but are not limited to: (i) national, to a lesser extent global, and regional economic and market conditions; (ii) interest rates; (iii) competition for depositor funds from banks and other investment alternatives; (iv) the availability of sufficient collateral that is acceptable to the FHLB and the Federal Reserve Bank, both of which are significant sources of contingent liquidity for us; (v) fiscal and monetary policy; (vi) public and market perception of</w:t>
      </w: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23" w:name="page24"/>
    <w:bookmarkEnd w:id="23"/>
    <w:p>
      <w:pPr>
        <w:spacing w:after="0" w:line="248" w:lineRule="auto"/>
        <w:rPr>
          <w:sz w:val="20"/>
          <w:szCs w:val="20"/>
          <w:color w:val="auto"/>
        </w:rPr>
      </w:pPr>
      <w:r>
        <w:rPr>
          <w:rFonts w:ascii="Times New Roman" w:cs="Times New Roman" w:eastAsia="Times New Roman" w:hAnsi="Times New Roman"/>
          <w:sz w:val="18"/>
          <w:szCs w:val="18"/>
          <w:color w:val="auto"/>
        </w:rPr>
        <w:t>BankUnited specifically, peer banks and the banking sector more broadly; (vii) our ability to access the capital markets as a potential liquidity source; and (viii) regulatory requirements or changes. Our access to liquidity in the form of deposits may also be affected by the liquidity needs of our depositors. A substantial portion of our liabilities consist of deposit accounts that are payable on demand or upon several days' notice, while by comparison, the majority of our assets are loans, which cannot be called or sold in the same time frame. Although we have historically been able to replace maturing deposits and borrowings as necessary, we might not be able to replace such funds in the future. A failure to maintain adequate liquidity could materially and adversely affect our ability to sustain business operations, our financial condition or results of operations.</w:t>
      </w:r>
    </w:p>
    <w:p>
      <w:pPr>
        <w:spacing w:after="0" w:line="119" w:lineRule="exact"/>
        <w:rPr>
          <w:sz w:val="20"/>
          <w:szCs w:val="20"/>
          <w:color w:val="auto"/>
        </w:rPr>
      </w:pPr>
    </w:p>
    <w:p>
      <w:pPr>
        <w:ind w:right="24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material unanticipated outflows of deposits, jeopardizing our ability to maintain sufficient liquidity to conduct normal business operations.</w:t>
      </w:r>
    </w:p>
    <w:p>
      <w:pPr>
        <w:spacing w:after="0" w:line="100" w:lineRule="exact"/>
        <w:rPr>
          <w:sz w:val="20"/>
          <w:szCs w:val="20"/>
          <w:color w:val="auto"/>
        </w:rPr>
      </w:pPr>
    </w:p>
    <w:p>
      <w:pPr>
        <w:ind w:right="60" w:firstLine="315"/>
        <w:spacing w:after="0" w:line="252" w:lineRule="auto"/>
        <w:rPr>
          <w:sz w:val="20"/>
          <w:szCs w:val="20"/>
          <w:color w:val="auto"/>
        </w:rPr>
      </w:pPr>
      <w:r>
        <w:rPr>
          <w:rFonts w:ascii="Times New Roman" w:cs="Times New Roman" w:eastAsia="Times New Roman" w:hAnsi="Times New Roman"/>
          <w:sz w:val="18"/>
          <w:szCs w:val="18"/>
          <w:color w:val="auto"/>
        </w:rPr>
        <w:t>We are susceptible to internal or external circumstances, perceptions or events, some of which we may be unable to anticipate or control or may be of an unprecedented nature, that could lead to material unexpected deposit outflows. Depositors increasingly have the ability to move funds quickly and easily using digital channels. If a significant portion of our deposits were to be withdrawn within a short period of time, the Company’s liquidity, financial condition, results of operations and ability to sustain normal operations could be materially, adversely affected.</w:t>
      </w:r>
    </w:p>
    <w:p>
      <w:pPr>
        <w:spacing w:after="0" w:line="99" w:lineRule="exact"/>
        <w:rPr>
          <w:sz w:val="20"/>
          <w:szCs w:val="20"/>
          <w:color w:val="auto"/>
        </w:rPr>
      </w:pPr>
    </w:p>
    <w:p>
      <w:pPr>
        <w:ind w:right="92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FRB and the FHLB are important sources of both operating and contingent liquidity. If the availability of those liquidity sources were compromised, our business, financial condition or results of operations could be materially adversely affected.</w:t>
      </w:r>
    </w:p>
    <w:p>
      <w:pPr>
        <w:spacing w:after="0" w:line="100" w:lineRule="exact"/>
        <w:rPr>
          <w:sz w:val="20"/>
          <w:szCs w:val="20"/>
          <w:color w:val="auto"/>
        </w:rPr>
      </w:pPr>
    </w:p>
    <w:p>
      <w:pPr>
        <w:ind w:right="80" w:firstLine="315"/>
        <w:spacing w:after="0" w:line="246" w:lineRule="auto"/>
        <w:rPr>
          <w:sz w:val="20"/>
          <w:szCs w:val="20"/>
          <w:color w:val="auto"/>
        </w:rPr>
      </w:pPr>
      <w:r>
        <w:rPr>
          <w:rFonts w:ascii="Times New Roman" w:cs="Times New Roman" w:eastAsia="Times New Roman" w:hAnsi="Times New Roman"/>
          <w:sz w:val="18"/>
          <w:szCs w:val="18"/>
          <w:color w:val="auto"/>
        </w:rPr>
        <w:t>The FRB and FHLB provide important sources of stable, reliable and specifically with respect to the FRB, emergency liquidity to banks including BankUnited. Should the availability, nature, design or provisions of the various liquidity facilities provided by these entities change materially, BankUnited's ability to access operating or contingent liquidity as needed could be adversely impacted. The availability of liquidity from these sources is also dependent on the nature and value, which could be negatively impacted by changes in interest rates or general economic and market conditions, of collateral BankUnited is able to provide and on their evaluation of the Bank's creditworthiness. A significant portion of collateral available to be pledged to the FHLB and FRB consists of loans and securities collateralized by residential and commercial real estate; the value of this collateral is subject to many of the same risks discussed above with respect to the value of real estate collateral for our loans. The FHFA, the primary regulator of the FHLB system, is actively implementing recommendations from its 2023 comprehensive review of the FHLB system. Any future regulatory or legislative action resulting from the comprehensive, multi-year implementation effort could impact the future amount, terms and availability of liquidity provided by the FHLBs to their members, including BankUnited. Our ability to access funds on a timely basis from the FRB and FHLB also depends on our operational readiness; while we test operational readiness regularly and believe our processes and procedures are adequate in this regard, a failure of those processes and procedures could compromise our ability to access needed liquidity.</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 significant percentage of our deposits are commercial deposits, many of which are uninsured.</w:t>
      </w:r>
    </w:p>
    <w:p>
      <w:pPr>
        <w:spacing w:after="0" w:line="139" w:lineRule="exact"/>
        <w:rPr>
          <w:sz w:val="20"/>
          <w:szCs w:val="20"/>
          <w:color w:val="auto"/>
        </w:rPr>
      </w:pPr>
    </w:p>
    <w:p>
      <w:pPr>
        <w:ind w:right="40" w:firstLine="315"/>
        <w:spacing w:after="0" w:line="249" w:lineRule="auto"/>
        <w:rPr>
          <w:sz w:val="20"/>
          <w:szCs w:val="20"/>
          <w:color w:val="auto"/>
        </w:rPr>
      </w:pPr>
      <w:r>
        <w:rPr>
          <w:rFonts w:ascii="Times New Roman" w:cs="Times New Roman" w:eastAsia="Times New Roman" w:hAnsi="Times New Roman"/>
          <w:sz w:val="18"/>
          <w:szCs w:val="18"/>
          <w:color w:val="auto"/>
        </w:rPr>
        <w:t>Our business strategy is heavily focused on commercial customers, and as such, a large percentage of our deposits are commercial deposits. Inherently, due to the design and purpose of FDIC deposit insurance, across the U.S. banking system and at BankUnited, a significant portion of commercial deposits are uninsured. While we offer programs and products to our commercial customers that allow them to increase the amount of their deposits that are insured, not all depositors choose to take advantage of these programs and products. Uninsured deposits may be more subject to unanticipated outflows than insured deposits, particularly during times of systemic or institution-specific stress.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Loss of deposits or a change in deposit mix could increase our funding costs.</w:t>
      </w:r>
    </w:p>
    <w:p>
      <w:pPr>
        <w:spacing w:after="0" w:line="152" w:lineRule="exact"/>
        <w:rPr>
          <w:sz w:val="20"/>
          <w:szCs w:val="20"/>
          <w:color w:val="auto"/>
        </w:rPr>
      </w:pPr>
    </w:p>
    <w:p>
      <w:pPr>
        <w:ind w:right="100" w:firstLine="315"/>
        <w:spacing w:after="0" w:line="248" w:lineRule="auto"/>
        <w:rPr>
          <w:sz w:val="20"/>
          <w:szCs w:val="20"/>
          <w:color w:val="auto"/>
        </w:rPr>
      </w:pPr>
      <w:r>
        <w:rPr>
          <w:rFonts w:ascii="Times New Roman" w:cs="Times New Roman" w:eastAsia="Times New Roman" w:hAnsi="Times New Roman"/>
          <w:sz w:val="18"/>
          <w:szCs w:val="18"/>
          <w:color w:val="auto"/>
        </w:rPr>
        <w:t>Deposits are typically a relatively low cost and stable source of funding. We compete with banks and other financial service providers for customer funds; as a result, we could lose deposits in the future, clients may shift their deposits into higher cost products, or we may need to raise interest rates to avoid deposit attrition. Funding costs may also increase if deposits are replaced with wholesale funding. Higher funding costs reduce our net interest margin, net interest income, and net income. A portion of our deposit base consists of companies serving the residential real estate eco-system and is exposed to the overall health and level of activity in that eco-system. In a sustained high interest rate environment, the level of residential real estate activity would be expected to decline, which may lead to reduced deposit balances in this vertical.</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The inability of BankUnited, Inc. to receive dividends from its subsidiary bank could have a material adverse effect on the ability of BankUnited, Inc.</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make payments on its debt, pay cash dividends to its shareholders or execute share repurchases.</w:t>
      </w:r>
    </w:p>
    <w:p>
      <w:pPr>
        <w:spacing w:after="0" w:line="130" w:lineRule="exact"/>
        <w:rPr>
          <w:sz w:val="20"/>
          <w:szCs w:val="20"/>
          <w:color w:val="auto"/>
        </w:rPr>
      </w:pPr>
    </w:p>
    <w:p>
      <w:pPr>
        <w:ind w:right="40" w:firstLine="315"/>
        <w:spacing w:after="0" w:line="256" w:lineRule="auto"/>
        <w:rPr>
          <w:sz w:val="20"/>
          <w:szCs w:val="20"/>
          <w:color w:val="auto"/>
        </w:rPr>
      </w:pPr>
      <w:r>
        <w:rPr>
          <w:rFonts w:ascii="Times New Roman" w:cs="Times New Roman" w:eastAsia="Times New Roman" w:hAnsi="Times New Roman"/>
          <w:sz w:val="18"/>
          <w:szCs w:val="18"/>
          <w:color w:val="252525"/>
        </w:rPr>
        <w:t>BankUnited, Inc. is a separate and distinct legal entity from the Bank, and the substantial majority of its revenue consists of dividends from the Bank. These dividends are the primary funding source for the dividends paid by BankUnited, Inc. on its common stock, the interest and principal payments on its debt and any repurchases of outstanding common stock. Various</w:t>
      </w: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4" w:name="page25"/>
    <w:bookmarkEnd w:id="24"/>
    <w:p>
      <w:pPr>
        <w:ind w:right="100"/>
        <w:spacing w:after="0" w:line="252" w:lineRule="auto"/>
        <w:rPr>
          <w:sz w:val="20"/>
          <w:szCs w:val="20"/>
          <w:color w:val="auto"/>
        </w:rPr>
      </w:pPr>
      <w:r>
        <w:rPr>
          <w:rFonts w:ascii="Times New Roman" w:cs="Times New Roman" w:eastAsia="Times New Roman" w:hAnsi="Times New Roman"/>
          <w:sz w:val="18"/>
          <w:szCs w:val="18"/>
          <w:color w:val="252525"/>
        </w:rPr>
        <w:t>federal and state laws and regulations limit the amount of dividends that a bank may pay to its parent company. In addition, our right to participate in a distribution of assets upon the liquidation or reorganization of a subsidiary may be subject to the prior claims of the subsidiary’s depositors and other creditors. If the Bank is unable to pay dividends, BankUnited, Inc. might not be able to service its debt, pay its obligations, pay dividends on its common stock or make share repurchases.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212" w:lineRule="exact"/>
        <w:rPr>
          <w:sz w:val="20"/>
          <w:szCs w:val="20"/>
          <w:color w:val="auto"/>
        </w:rPr>
      </w:pPr>
    </w:p>
    <w:p>
      <w:pPr>
        <w:ind w:firstLine="31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rely on analytical and forecasting models and tools that may prove to be inadequate or inaccurate, which could adversely impact the effectiveness of our strategic planning, the quality of certain accounting estimates including the ACL, the effectiveness of our risk management framework including but not limited to credit, interest rate and liquidity risk monitoring and management and thereby our results of operations.</w:t>
      </w:r>
    </w:p>
    <w:p>
      <w:pPr>
        <w:spacing w:after="0" w:line="112" w:lineRule="exact"/>
        <w:rPr>
          <w:sz w:val="20"/>
          <w:szCs w:val="20"/>
          <w:color w:val="auto"/>
        </w:rPr>
      </w:pPr>
    </w:p>
    <w:p>
      <w:pPr>
        <w:ind w:right="180" w:firstLine="315"/>
        <w:spacing w:after="0" w:line="247" w:lineRule="auto"/>
        <w:rPr>
          <w:sz w:val="20"/>
          <w:szCs w:val="20"/>
          <w:color w:val="auto"/>
        </w:rPr>
      </w:pPr>
      <w:r>
        <w:rPr>
          <w:rFonts w:ascii="Times New Roman" w:cs="Times New Roman" w:eastAsia="Times New Roman" w:hAnsi="Times New Roman"/>
          <w:sz w:val="18"/>
          <w:szCs w:val="18"/>
          <w:color w:val="252525"/>
        </w:rPr>
        <w:t>The processes we use to forecast future performance and estimate expected credit losses, fair values of certain assets and liabilities and other significant accounting estimates, including in hypothetical periods of stress, the effects of changing interest rates, sources and uses of liquidity, real estate values, and economic trends and indicators on our financial condition and results of operations depend upon the use of analytical and forecasting tools and models. These tools and models reflect assumptions that may prove inaccurate, particularly in times of market stress, volatility or other unforeseen or unprecedented circumstances. Furthermore, even if our assumptions are accurate predictors of future performance, the tools and models that utilize them may prove to be inadequate or inaccurate because of other flaws in their design or implementation. If these tools prove to be inadequate or inaccurate, our strategic planning processes, risk management and monitoring framework, earnings and capital may be adversely impacted.</w:t>
      </w:r>
    </w:p>
    <w:p>
      <w:pPr>
        <w:spacing w:after="0" w:line="187" w:lineRule="exact"/>
        <w:rPr>
          <w:sz w:val="20"/>
          <w:szCs w:val="20"/>
          <w:color w:val="auto"/>
        </w:rPr>
      </w:pPr>
    </w:p>
    <w:p>
      <w:pPr>
        <w:ind w:right="60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lines of business, new products and services or strategic project initiatives may subject us to additional operational risks, and the failure to successfully implement these initiatives could affect our reputation and results of operations.</w:t>
      </w:r>
    </w:p>
    <w:p>
      <w:pPr>
        <w:spacing w:after="0" w:line="100" w:lineRule="exact"/>
        <w:rPr>
          <w:sz w:val="20"/>
          <w:szCs w:val="20"/>
          <w:color w:val="auto"/>
        </w:rPr>
      </w:pPr>
    </w:p>
    <w:p>
      <w:pPr>
        <w:ind w:right="20" w:firstLine="315"/>
        <w:spacing w:after="0" w:line="247" w:lineRule="auto"/>
        <w:rPr>
          <w:sz w:val="20"/>
          <w:szCs w:val="20"/>
          <w:color w:val="auto"/>
        </w:rPr>
      </w:pPr>
      <w:r>
        <w:rPr>
          <w:rFonts w:ascii="Times New Roman" w:cs="Times New Roman" w:eastAsia="Times New Roman" w:hAnsi="Times New Roman"/>
          <w:sz w:val="18"/>
          <w:szCs w:val="18"/>
          <w:color w:val="auto"/>
        </w:rPr>
        <w:t>From time to time, we may launch new verticals or lines of business, expand into new geographies or offer new or modified banking products and services, which offerings may significantly increase operational, credit or reputational risks. Significant effort and resources may be required to manage and oversee the successful development, implementation, risk assessment, launch or scaling of new initiatives, which effort and resources may be diverted from other of our products or services. While we invest significant time and resources in developing, marketing and managing new products and services, there are material uncertainties that could adversely impact estimated implementation and operational costs or projected adoption, sales, revenues or profits, and no assurance can be given that any new offerings will be successfully developed, implemented, launched or scaled. New products and services may require startup and ongoing marketing costs and operational changes. The inability to successfully roll out new products and services may result in unmet profitability targets, increased costs, loss of customers or competitive advantage or other adverse impacts on our business and results of operations.</w:t>
      </w:r>
    </w:p>
    <w:p>
      <w:pPr>
        <w:spacing w:after="0" w:line="106" w:lineRule="exact"/>
        <w:rPr>
          <w:sz w:val="20"/>
          <w:szCs w:val="20"/>
          <w:color w:val="auto"/>
        </w:rPr>
      </w:pPr>
    </w:p>
    <w:p>
      <w:pPr>
        <w:ind w:right="68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risk of fraud, theft or errors by employees or outsiders and to the impact of ineffective processes and controls, which may adversely affect our business, financial condition and results of operations.</w:t>
      </w:r>
    </w:p>
    <w:p>
      <w:pPr>
        <w:spacing w:after="0" w:line="100" w:lineRule="exact"/>
        <w:rPr>
          <w:sz w:val="20"/>
          <w:szCs w:val="20"/>
          <w:color w:val="auto"/>
        </w:rPr>
      </w:pPr>
    </w:p>
    <w:p>
      <w:pPr>
        <w:ind w:right="40" w:firstLine="315"/>
        <w:spacing w:after="0" w:line="256" w:lineRule="auto"/>
        <w:rPr>
          <w:sz w:val="20"/>
          <w:szCs w:val="20"/>
          <w:color w:val="auto"/>
        </w:rPr>
      </w:pPr>
      <w:r>
        <w:rPr>
          <w:rFonts w:ascii="Times New Roman" w:cs="Times New Roman" w:eastAsia="Times New Roman" w:hAnsi="Times New Roman"/>
          <w:sz w:val="18"/>
          <w:szCs w:val="18"/>
          <w:color w:val="auto"/>
        </w:rPr>
        <w:t>We are exposed to the risk of fraud or theft by employees or outsiders and to operational errors, including clerical or record-keeping errors, the impact of ineffective processes and controls or faulty or disabled technology. Events such as these could cause us to suffer financial loss, the loss of customers, regulatory action and damage to our reputation.</w:t>
      </w:r>
    </w:p>
    <w:p>
      <w:pPr>
        <w:spacing w:after="0" w:line="113" w:lineRule="exact"/>
        <w:rPr>
          <w:sz w:val="20"/>
          <w:szCs w:val="20"/>
          <w:color w:val="auto"/>
        </w:rPr>
      </w:pPr>
    </w:p>
    <w:p>
      <w:pPr>
        <w:ind w:right="60" w:firstLine="315"/>
        <w:spacing w:after="0" w:line="288" w:lineRule="auto"/>
        <w:rPr>
          <w:sz w:val="20"/>
          <w:szCs w:val="20"/>
          <w:color w:val="auto"/>
        </w:rPr>
      </w:pPr>
      <w:r>
        <w:rPr>
          <w:rFonts w:ascii="Times New Roman" w:cs="Times New Roman" w:eastAsia="Times New Roman" w:hAnsi="Times New Roman"/>
          <w:sz w:val="16"/>
          <w:szCs w:val="16"/>
          <w:color w:val="auto"/>
        </w:rPr>
        <w:t>Because the nature of the financial services business involves a high volume of transactions, certain errors may be repeated or compounded before they are discovered and successfully rectified. Our necessary dependence on automated systems to record and process transactions and our large transaction volume may further increase the risk that technical flaws or employee tampering or manipulation of those systems will result in losses that are difficult to detect. The occurrence of any of these events could result in a diminished ability to operate our business as well as potential liability to customers and counterparties, reputational damage and regulatory intervention, which could adversely affect our business, financial condition or results of operations.</w:t>
      </w:r>
    </w:p>
    <w:p>
      <w:pPr>
        <w:spacing w:after="0" w:line="79" w:lineRule="exact"/>
        <w:rPr>
          <w:sz w:val="20"/>
          <w:szCs w:val="20"/>
          <w:color w:val="auto"/>
        </w:rPr>
      </w:pPr>
    </w:p>
    <w:p>
      <w:pPr>
        <w:ind w:right="120" w:firstLine="315"/>
        <w:spacing w:after="0" w:line="252" w:lineRule="auto"/>
        <w:rPr>
          <w:sz w:val="20"/>
          <w:szCs w:val="20"/>
          <w:color w:val="auto"/>
        </w:rPr>
      </w:pPr>
      <w:r>
        <w:rPr>
          <w:rFonts w:ascii="Times New Roman" w:cs="Times New Roman" w:eastAsia="Times New Roman" w:hAnsi="Times New Roman"/>
          <w:sz w:val="18"/>
          <w:szCs w:val="18"/>
          <w:color w:val="252525"/>
        </w:rPr>
        <w:t>While we regularly monitor, evaluate and update our internal control framework including controls over financial reporting and corporate governance policies and procedures, any system of controls, however well designed and operated, can provide only reasonable, not absolute, assurances that the objectives of the controls are met. Failure of our system of controls and procedures could have a material adverse effect on our financial condition and results of operations.</w:t>
      </w:r>
    </w:p>
    <w:p>
      <w:pPr>
        <w:spacing w:after="0" w:line="178" w:lineRule="exact"/>
        <w:rPr>
          <w:sz w:val="20"/>
          <w:szCs w:val="20"/>
          <w:color w:val="auto"/>
        </w:rPr>
      </w:pPr>
    </w:p>
    <w:p>
      <w:pPr>
        <w:ind w:right="28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information technology and telecommunications systems. System failures or interruptions could have an adverse effect on our business, reputation, financial condition and results of operations.</w:t>
      </w:r>
    </w:p>
    <w:p>
      <w:pPr>
        <w:spacing w:after="0" w:line="100" w:lineRule="exact"/>
        <w:rPr>
          <w:sz w:val="20"/>
          <w:szCs w:val="20"/>
          <w:color w:val="auto"/>
        </w:rPr>
      </w:pPr>
    </w:p>
    <w:p>
      <w:pPr>
        <w:ind w:right="320" w:firstLine="315"/>
        <w:spacing w:after="0" w:line="268" w:lineRule="auto"/>
        <w:rPr>
          <w:sz w:val="20"/>
          <w:szCs w:val="20"/>
          <w:color w:val="auto"/>
        </w:rPr>
      </w:pPr>
      <w:r>
        <w:rPr>
          <w:rFonts w:ascii="Times New Roman" w:cs="Times New Roman" w:eastAsia="Times New Roman" w:hAnsi="Times New Roman"/>
          <w:sz w:val="18"/>
          <w:szCs w:val="18"/>
          <w:color w:val="auto"/>
        </w:rPr>
        <w:t>Our business is highly dependent on the successful and uninterrupted functioning of our information technology, internet and network connectivity and telecommunications systems. We rely on these systems and connectivity to process new and</w:t>
      </w: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5" w:name="page26"/>
    <w:bookmarkEnd w:id="25"/>
    <w:p>
      <w:pPr>
        <w:ind w:right="60"/>
        <w:spacing w:after="0" w:line="246" w:lineRule="auto"/>
        <w:rPr>
          <w:sz w:val="20"/>
          <w:szCs w:val="20"/>
          <w:color w:val="auto"/>
        </w:rPr>
      </w:pPr>
      <w:r>
        <w:rPr>
          <w:rFonts w:ascii="Times New Roman" w:cs="Times New Roman" w:eastAsia="Times New Roman" w:hAnsi="Times New Roman"/>
          <w:sz w:val="18"/>
          <w:szCs w:val="18"/>
          <w:color w:val="auto"/>
        </w:rPr>
        <w:t>renewed loans, gather deposits, process customer and other transactions, provide customer service, facilitate collections, facilitate remote work and share data across our organization. The failure of these systems and technologies could interrupt our operations. We may be subject to disruptions of our information technology and telecommunications systems arising from events that are wholly or partially beyond our control which may give rise to disruption of service to customers and of our employees' ability to perform their jobs. Because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renewed loans, gather deposits, process customer transactions, provide customer service, compromise our ability to operate effectively, damage our reputation, result in a loss of customer business, and/or subject us to additional regulatory scrutiny and possible financial liability, any of which could have a material adverse effect on our financial condition and results of operations.</w:t>
      </w:r>
    </w:p>
    <w:p>
      <w:pPr>
        <w:spacing w:after="0" w:line="190" w:lineRule="exact"/>
        <w:rPr>
          <w:sz w:val="20"/>
          <w:szCs w:val="20"/>
          <w:color w:val="auto"/>
        </w:rPr>
      </w:pPr>
    </w:p>
    <w:p>
      <w:pPr>
        <w:ind w:right="82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third-party service providers for significant aspects of our business infrastructure, information technology, and telecommunications systems.</w:t>
      </w:r>
    </w:p>
    <w:p>
      <w:pPr>
        <w:spacing w:after="0" w:line="100" w:lineRule="exact"/>
        <w:rPr>
          <w:sz w:val="20"/>
          <w:szCs w:val="20"/>
          <w:color w:val="auto"/>
        </w:rPr>
      </w:pPr>
    </w:p>
    <w:p>
      <w:pPr>
        <w:ind w:firstLine="315"/>
        <w:spacing w:after="0" w:line="277" w:lineRule="auto"/>
        <w:rPr>
          <w:sz w:val="20"/>
          <w:szCs w:val="20"/>
          <w:color w:val="auto"/>
        </w:rPr>
      </w:pPr>
      <w:r>
        <w:rPr>
          <w:rFonts w:ascii="Times New Roman" w:cs="Times New Roman" w:eastAsia="Times New Roman" w:hAnsi="Times New Roman"/>
          <w:sz w:val="16"/>
          <w:szCs w:val="16"/>
          <w:color w:val="auto"/>
        </w:rPr>
        <w:t>We rely on third parties to provide key components of our business infrastructure and major systems including, but not limited to, core banking systems such as loan servicing and deposit transaction processing systems, cloud-based data storage, our electronic funds transfer transaction processing, cash management, online banking services, ERP systems and computer and networking infrastructure. We have migrated a significant portion of our core information technology systems, data storage and customer-facing applications to private and public cloud infrastructure platforms. If we fail to administer these environments in a well-managed, secure and effective manner, or if these platforms become unavailable or do not meet their service level agreements for any reason, we may experience unplanned service disruption or unforeseen costs which could result in material harm to our business, reputation, financial condition and results of operations. We must successfully develop and maintain information, financial reporting, disclosure, data-protection and other controls adapted to our reliance on outside platforms and providers. In addition, service providers could experience system breakdowns or failures, outages, downtime, cyber-attacks, adverse changes to financial condition, bankruptcy, or other adverse conditions, which could have a material adverse effect on our business and reputation. While we have an established third-party risk management framework and select and monitor the performance of third-party vendors carefully, we do not control their actions. Any problems caused by these third parties, including those resulting from disruptions in communication services provided by a third party, failure of a third party to handle current or higher volumes, failure of a third party to provide services for any reason or poor performance of services, or the termination of a third-party software license or service agreement on which any of these systems is based, could adversely affect our ability to deliver products and services to our customers and otherwise conduct our business. In many cases, our operations rely heavily on the secure processing, storage and transmission of information and the monitoring of a large number of transactions on a minute-by-minute basis, and even a short interruption in service could have significant consequences. Financial or operational difficulties of a third-party service provider could adversely affect our operations if those difficulties interfere with the service provider's ability to serve us effectively or at all. Replacing these third-party service providers could create significant delays and expense. Accordingly, use of such third party service providers creates an unavoidable material inherent risk to our business operations.</w:t>
      </w:r>
    </w:p>
    <w:p>
      <w:pPr>
        <w:spacing w:after="0" w:line="382" w:lineRule="exact"/>
        <w:rPr>
          <w:sz w:val="20"/>
          <w:szCs w:val="20"/>
          <w:color w:val="auto"/>
        </w:rPr>
      </w:pPr>
    </w:p>
    <w:p>
      <w:pPr>
        <w:ind w:right="400" w:firstLine="31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at risk of cybersecurity incidents, defined as any unauthorized occurrence, or series of related unauthorized occurrences, on or conducted through our information systems, including those of third-party service providers that we rely on, that jeopardizes the confidentiality, integrity or availability of those information systems or information residing therein.</w:t>
      </w:r>
    </w:p>
    <w:p>
      <w:pPr>
        <w:spacing w:after="0" w:line="112" w:lineRule="exact"/>
        <w:rPr>
          <w:sz w:val="20"/>
          <w:szCs w:val="20"/>
          <w:color w:val="auto"/>
        </w:rPr>
      </w:pPr>
    </w:p>
    <w:p>
      <w:pPr>
        <w:ind w:firstLine="315"/>
        <w:spacing w:after="0" w:line="249" w:lineRule="auto"/>
        <w:rPr>
          <w:sz w:val="20"/>
          <w:szCs w:val="20"/>
          <w:color w:val="auto"/>
        </w:rPr>
      </w:pPr>
      <w:r>
        <w:rPr>
          <w:rFonts w:ascii="Times New Roman" w:cs="Times New Roman" w:eastAsia="Times New Roman" w:hAnsi="Times New Roman"/>
          <w:sz w:val="18"/>
          <w:szCs w:val="18"/>
          <w:color w:val="auto"/>
        </w:rPr>
        <w:t>In the normal course of business, we collect, process, and retain sensitive and confidential client and customer information. Despite the security measures we and our third party service providers have in place, information systems may be vulnerable to cybersecurity incidents. Cybersecurity incidents can take many forms including cyber-attacks, security breaches, acts of vandalism, computer viruses, misplaced or lost data, programming and/or human errors, or other similar events, especially because, in the case of any intentional breaches, the techniques used change frequently or may not be recognized until launched, and cyber-attacks can originate from a wide variety of sources.</w:t>
      </w:r>
    </w:p>
    <w:p>
      <w:pPr>
        <w:spacing w:after="0" w:line="109" w:lineRule="exact"/>
        <w:rPr>
          <w:sz w:val="20"/>
          <w:szCs w:val="20"/>
          <w:color w:val="auto"/>
        </w:rPr>
      </w:pPr>
    </w:p>
    <w:p>
      <w:pPr>
        <w:ind w:right="120" w:firstLine="315"/>
        <w:spacing w:after="0" w:line="247" w:lineRule="auto"/>
        <w:rPr>
          <w:sz w:val="20"/>
          <w:szCs w:val="20"/>
          <w:color w:val="auto"/>
        </w:rPr>
      </w:pPr>
      <w:r>
        <w:rPr>
          <w:rFonts w:ascii="Times New Roman" w:cs="Times New Roman" w:eastAsia="Times New Roman" w:hAnsi="Times New Roman"/>
          <w:sz w:val="18"/>
          <w:szCs w:val="18"/>
          <w:color w:val="auto"/>
        </w:rPr>
        <w:t>We provide our customers the ability to bank remotely, including online, via mobile devices and over the telephone. The secure transmission of confidential information over the internet and other remote channels is a critical element of remote banking. Our network could be vulnerable to unauthorized access, computer viruses, social engineering schemes and other security breaches. In addition to cybersecurity incidents involving the theft of sensitive and confidential information, hackers have engaged in attacks against financial institutions, particularly denial of service attacks, designed to disrupt key business services such as customer-facing websites. We may be required to spend significant capital and other resources to protect against the threat of cybersecurity incidents, or to alleviate problems caused by cybersecurity incidents. Any cybersecurity incident involving the misappropriation, loss or other unauthorized disclosure of confidential customer information could severely damage our reputation, erode confidence in the security of our systems, products and services, expose us to the risk of litigation and liability, disrupt our operations and have a material adverse effect on our business.</w:t>
      </w: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46" w:right="379" w:bottom="1440" w:gutter="0" w:footer="0" w:header="0"/>
        </w:sectPr>
      </w:pPr>
    </w:p>
    <w:bookmarkStart w:id="26" w:name="page27"/>
    <w:bookmarkEnd w:id="26"/>
    <w:p>
      <w:pPr>
        <w:ind w:firstLine="315"/>
        <w:spacing w:after="0" w:line="247" w:lineRule="auto"/>
        <w:rPr>
          <w:sz w:val="20"/>
          <w:szCs w:val="20"/>
          <w:color w:val="auto"/>
        </w:rPr>
      </w:pPr>
      <w:r>
        <w:rPr>
          <w:rFonts w:ascii="Times New Roman" w:cs="Times New Roman" w:eastAsia="Times New Roman" w:hAnsi="Times New Roman"/>
          <w:sz w:val="18"/>
          <w:szCs w:val="18"/>
          <w:color w:val="auto"/>
        </w:rPr>
        <w:t>In addition, we interact with and rely on financial counterparties for whom we process transactions and who process transactions for us and rely on other third-party service providers, as discussed above. Each of these third parties may be targets of the same types of cybersecurity incidents described above. The measures that they maintain to mitigate the risk of such activity may be different from our own and, in many cases, we do not have any control over the types of security measures they may choose to implement. We may incur costs as a result of data or security breaches of third parties with whom we do not have a significant direct relationship. As a result of financial entities and technology systems becoming more interdependent and complex, a cybersecurity incident, information breach or loss, or technology failure that compromises the systems or data of one or more financial entities could have a material impact on counterparties or other market participants, including us.</w:t>
      </w:r>
    </w:p>
    <w:p>
      <w:pPr>
        <w:spacing w:after="0" w:line="126" w:lineRule="exact"/>
        <w:rPr>
          <w:sz w:val="20"/>
          <w:szCs w:val="20"/>
          <w:color w:val="auto"/>
        </w:rPr>
      </w:pPr>
    </w:p>
    <w:p>
      <w:pPr>
        <w:ind w:right="20" w:firstLine="315"/>
        <w:spacing w:after="0" w:line="252" w:lineRule="auto"/>
        <w:rPr>
          <w:sz w:val="20"/>
          <w:szCs w:val="20"/>
          <w:color w:val="auto"/>
        </w:rPr>
      </w:pPr>
      <w:r>
        <w:rPr>
          <w:rFonts w:ascii="Times New Roman" w:cs="Times New Roman" w:eastAsia="Times New Roman" w:hAnsi="Times New Roman"/>
          <w:sz w:val="18"/>
          <w:szCs w:val="18"/>
          <w:color w:val="auto"/>
        </w:rPr>
        <w:t>Concerns regarding the effectiveness of our measures to safeguard personal information, or even the perception that such measures are inadequate, could cause us to lose customers or potential customers and thereby reduce our revenues. If another financial institution experiences a material cybersecurity incident, even if we are not directly impacted in any way, negative publicity about the incident could impact confidence in the banking system generally, including in BankUnited.</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1C - Cybersecurity." for further discussion of measures we have taken to implement safeguards with respect to cybersecurity incidents.</w:t>
      </w:r>
    </w:p>
    <w:p>
      <w:pPr>
        <w:spacing w:after="0" w:line="131" w:lineRule="exact"/>
        <w:rPr>
          <w:sz w:val="20"/>
          <w:szCs w:val="20"/>
          <w:color w:val="auto"/>
        </w:rPr>
      </w:pPr>
    </w:p>
    <w:p>
      <w:pPr>
        <w:ind w:right="40" w:firstLine="31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The risk inherent in the adoption and implementation of new technologies, or the failure to keep pace with technological innovation may result in reputational harm, increased regulatory scrutiny, increased liability, heightened operational risk, an adverse impact on our ability to compete for loans and deposits and serve our customers, and an adverse impact on our business, financial condition and results of operations.</w:t>
      </w:r>
    </w:p>
    <w:p>
      <w:pPr>
        <w:spacing w:after="0" w:line="112" w:lineRule="exact"/>
        <w:rPr>
          <w:sz w:val="20"/>
          <w:szCs w:val="20"/>
          <w:color w:val="auto"/>
        </w:rPr>
      </w:pPr>
    </w:p>
    <w:p>
      <w:pPr>
        <w:ind w:right="60" w:firstLine="315"/>
        <w:spacing w:after="0" w:line="280" w:lineRule="auto"/>
        <w:rPr>
          <w:sz w:val="20"/>
          <w:szCs w:val="20"/>
          <w:color w:val="auto"/>
        </w:rPr>
      </w:pPr>
      <w:r>
        <w:rPr>
          <w:rFonts w:ascii="Times New Roman" w:cs="Times New Roman" w:eastAsia="Times New Roman" w:hAnsi="Times New Roman"/>
          <w:sz w:val="16"/>
          <w:szCs w:val="16"/>
          <w:color w:val="auto"/>
        </w:rPr>
        <w:t>The financial services industry continues to experience rapid and significant technological change; financial products and services have become increasingly technology driven. Our ability to meet the needs of our customers competitively and in a cost-efficient manner is dependent on our ability to keep pace with and pro-actively and quickly respond to technological advances and to invest in relevant new technology as it becomes available. Many of our larger competitors have greater resources to invest in technology than we do and may be better equipped to market new technology-driven products and services. The widespread adoption of new technologies, including, but not limited to, digitally enabled products and delivery channels, payment systems and technologies supporting back-office and risk management capabilities could require us to incur substantial cost and effort to acquire new technology platforms, modify or adapt our existing products and services, infrastructure and control environment, to upskill our workforce and to modify related operational processes and procedures. Our operational change management framework may fail to effectively mitigate the operational risk and disruption inherent in or to remedy any challenges associated with the adoption of new technology. Our third-party service providers also regularly incorporate technological changes in the platforms and services they provide to us; while we regularly monitor and test their impact, we may have limited or no control over their implementation and are reliant on the third-party service providers for successful development and implementation of these changes.</w:t>
      </w:r>
    </w:p>
    <w:p>
      <w:pPr>
        <w:spacing w:after="0" w:line="311" w:lineRule="exact"/>
        <w:rPr>
          <w:sz w:val="20"/>
          <w:szCs w:val="20"/>
          <w:color w:val="auto"/>
        </w:rPr>
      </w:pPr>
    </w:p>
    <w:p>
      <w:pPr>
        <w:ind w:right="20" w:firstLine="315"/>
        <w:spacing w:after="0" w:line="247" w:lineRule="auto"/>
        <w:rPr>
          <w:sz w:val="20"/>
          <w:szCs w:val="20"/>
          <w:color w:val="auto"/>
        </w:rPr>
      </w:pPr>
      <w:r>
        <w:rPr>
          <w:rFonts w:ascii="Times New Roman" w:cs="Times New Roman" w:eastAsia="Times New Roman" w:hAnsi="Times New Roman"/>
          <w:sz w:val="18"/>
          <w:szCs w:val="18"/>
          <w:color w:val="auto"/>
        </w:rPr>
        <w:t>Generative and Agentic AI are emerging technologies that present both opportunities and risks to users. While our current use of AI is not material to our operations, its evolving use is subject to risks that algorithms and datasets are flawed or may be insufficient, poorly suited to purpose or contain biased information. The models used and results generated by AI and machine learning are not always transparent, which could increase the risk of unintended deficiencies. These deficiencies could result in inaccurate or ineffective decisions, predictions or analyses, which could subject our business to competitive harm, legal liability, increased regulatory scrutiny, reputational harm or other consequences that we may not be able to predict, any of which could negatively affect our business, financial condition and results of operations. The expanded adoption of AI may exacerbate the frequency and effectiveness of cybersecurity incidents. In addition, we expect our third-party service providers</w:t>
      </w: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27" w:name="page28"/>
    <w:bookmarkEnd w:id="27"/>
    <w:p>
      <w:pPr>
        <w:ind w:right="400"/>
        <w:spacing w:after="0" w:line="268" w:lineRule="auto"/>
        <w:rPr>
          <w:sz w:val="20"/>
          <w:szCs w:val="20"/>
          <w:color w:val="auto"/>
        </w:rPr>
      </w:pPr>
      <w:r>
        <w:rPr>
          <w:rFonts w:ascii="Times New Roman" w:cs="Times New Roman" w:eastAsia="Times New Roman" w:hAnsi="Times New Roman"/>
          <w:sz w:val="18"/>
          <w:szCs w:val="18"/>
          <w:color w:val="auto"/>
        </w:rPr>
        <w:t>to increasingly incorporate AI capabilities into their product offerings; our third party risk management framework may be inadequate to fully mitigate the associated risks.</w:t>
      </w:r>
    </w:p>
    <w:p>
      <w:pPr>
        <w:spacing w:after="0" w:line="103" w:lineRule="exact"/>
        <w:rPr>
          <w:sz w:val="20"/>
          <w:szCs w:val="20"/>
          <w:color w:val="auto"/>
        </w:rPr>
      </w:pPr>
    </w:p>
    <w:p>
      <w:pPr>
        <w:ind w:firstLine="315"/>
        <w:spacing w:after="0" w:line="247" w:lineRule="auto"/>
        <w:rPr>
          <w:sz w:val="20"/>
          <w:szCs w:val="20"/>
          <w:color w:val="auto"/>
        </w:rPr>
      </w:pPr>
      <w:r>
        <w:rPr>
          <w:rFonts w:ascii="Times New Roman" w:cs="Times New Roman" w:eastAsia="Times New Roman" w:hAnsi="Times New Roman"/>
          <w:sz w:val="18"/>
          <w:szCs w:val="18"/>
          <w:color w:val="auto"/>
        </w:rPr>
        <w:t>Widespread adoption and rapid evolution of, as well as developments in the regulatory landscape relating to emerging technologies, including AI, automated decision-making, and digital assets, such as cryptocurrencies, including stablecoins, tokens and other crypto assets that utilize distributed ledger technology, create additional strategic risks, could negatively impact our ability to compete and require substantial expenditures to the extent we were to modify or adapt our existing products and services. As new technologies evolve and mature, our businesses and results of operations could be adversely impacted, including as a result of new competitors and increased volatility in deposits and/or significant long-term reduction in deposits. Our failure to keep pace with technological innovation, to successfully implement enhanced and emerging technologies or to fully realize their benefits could have a material adverse impact on our business, financial condition and results of operations.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The soundness of other financial institutions, particularly our financial institution counterparties, could adversely affect us.</w:t>
      </w:r>
    </w:p>
    <w:p>
      <w:pPr>
        <w:spacing w:after="0" w:line="152" w:lineRule="exact"/>
        <w:rPr>
          <w:sz w:val="20"/>
          <w:szCs w:val="20"/>
          <w:color w:val="auto"/>
        </w:rPr>
      </w:pPr>
    </w:p>
    <w:p>
      <w:pPr>
        <w:ind w:right="140" w:firstLine="315"/>
        <w:spacing w:after="0" w:line="252" w:lineRule="auto"/>
        <w:rPr>
          <w:sz w:val="20"/>
          <w:szCs w:val="20"/>
          <w:color w:val="auto"/>
        </w:rPr>
      </w:pPr>
      <w:r>
        <w:rPr>
          <w:rFonts w:ascii="Times New Roman" w:cs="Times New Roman" w:eastAsia="Times New Roman" w:hAnsi="Times New Roman"/>
          <w:sz w:val="18"/>
          <w:szCs w:val="18"/>
          <w:color w:val="auto"/>
        </w:rPr>
        <w:t>Our ability to engage in routine funding and other transactions could be adversely affected by the stability and actions of other financial services institutions. Financial services institutions are interrelated as a result of trading, clearing, servicing, counterparty, and other relationships. We have exposure to an increasing number of financial institutions and counterparties. These counterparties include institutions that may be exposed to various risks over which we have little or no control.</w:t>
      </w:r>
    </w:p>
    <w:p>
      <w:pPr>
        <w:spacing w:after="0" w:line="103" w:lineRule="exact"/>
        <w:rPr>
          <w:sz w:val="20"/>
          <w:szCs w:val="20"/>
          <w:color w:val="auto"/>
        </w:rPr>
      </w:pPr>
    </w:p>
    <w:p>
      <w:pPr>
        <w:ind w:right="440" w:firstLine="315"/>
        <w:spacing w:after="0" w:line="268" w:lineRule="auto"/>
        <w:rPr>
          <w:sz w:val="20"/>
          <w:szCs w:val="20"/>
          <w:color w:val="auto"/>
        </w:rPr>
      </w:pPr>
      <w:r>
        <w:rPr>
          <w:rFonts w:ascii="Times New Roman" w:cs="Times New Roman" w:eastAsia="Times New Roman" w:hAnsi="Times New Roman"/>
          <w:sz w:val="18"/>
          <w:szCs w:val="18"/>
          <w:color w:val="auto"/>
        </w:rPr>
        <w:t>Adverse developments affecting the overall strength and soundness of the financial services industry as a whole and third parties with whom we have important relationships could have a negative impact on our business even if we are not directly subject to the same adverse developments.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Legal and Compliance Risk</w:t>
      </w:r>
    </w:p>
    <w:p>
      <w:pPr>
        <w:spacing w:after="0" w:line="212" w:lineRule="exact"/>
        <w:rPr>
          <w:sz w:val="20"/>
          <w:szCs w:val="20"/>
          <w:color w:val="auto"/>
        </w:rPr>
      </w:pPr>
    </w:p>
    <w:p>
      <w:pPr>
        <w:ind w:right="50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As a BHC, we and BankUnited operate in a highly regulated environment and the laws and regulations that apply to us, changes in them, or our failure to comply with them, may adversely affect us.</w:t>
      </w:r>
    </w:p>
    <w:p>
      <w:pPr>
        <w:spacing w:after="0" w:line="100" w:lineRule="exact"/>
        <w:rPr>
          <w:sz w:val="20"/>
          <w:szCs w:val="20"/>
          <w:color w:val="auto"/>
        </w:rPr>
      </w:pPr>
    </w:p>
    <w:p>
      <w:pPr>
        <w:ind w:right="20" w:firstLine="315"/>
        <w:spacing w:after="0" w:line="280" w:lineRule="auto"/>
        <w:rPr>
          <w:sz w:val="20"/>
          <w:szCs w:val="20"/>
          <w:color w:val="auto"/>
        </w:rPr>
      </w:pPr>
      <w:r>
        <w:rPr>
          <w:rFonts w:ascii="Times New Roman" w:cs="Times New Roman" w:eastAsia="Times New Roman" w:hAnsi="Times New Roman"/>
          <w:sz w:val="16"/>
          <w:szCs w:val="16"/>
          <w:color w:val="auto"/>
        </w:rPr>
        <w:t>We operate in a highly regulated environment, and are subject to comprehensive statutory, legal and regulatory regimes. See Item 1 "Business—Regulation and Supervision." Intended to protect customers, depositors, the DIF, and the overall financial stability of the United States, these laws and regulations, among other matters, prescribe capital and liquidity requirements, impose limitations on the business activities in which we can engage, limit the dividend or distributions that BankUnited can pay to BankUnited, Inc., restrict the ability of institutions to guarantee our debt, and impose specific accounting and reporting requirements on us. Banking regulators may also from time to time focus on issues that may impact the pace of growth of our business, our ability to execute our business strategy and our operations. Compliance with laws and regulations can be difficult and costly, and changes to laws and regulations often impose additional costs. In addition, federal banking agencies including the OCC, Federal Reserve Board and CFPB periodically conduct examinations of our business, including compliance with laws and regulations. Our failure to comply with these laws and regulations, and to effectively navigate this complex regulatory landscape, even if the failure follows good faith effort or reflects a difference in interpretation, could subject us to restrictions on our business activities, fines, remedial actions, administrative orders and other penalties, any of which could adversely affect our reputation, results of operations and capital base.</w:t>
      </w:r>
    </w:p>
    <w:p>
      <w:pPr>
        <w:spacing w:after="0" w:line="101" w:lineRule="exact"/>
        <w:rPr>
          <w:sz w:val="20"/>
          <w:szCs w:val="20"/>
          <w:color w:val="auto"/>
        </w:rPr>
      </w:pPr>
    </w:p>
    <w:p>
      <w:pPr>
        <w:ind w:firstLine="315"/>
        <w:spacing w:after="0" w:line="249" w:lineRule="auto"/>
        <w:rPr>
          <w:sz w:val="20"/>
          <w:szCs w:val="20"/>
          <w:color w:val="auto"/>
        </w:rPr>
      </w:pPr>
      <w:r>
        <w:rPr>
          <w:rFonts w:ascii="Times New Roman" w:cs="Times New Roman" w:eastAsia="Times New Roman" w:hAnsi="Times New Roman"/>
          <w:sz w:val="18"/>
          <w:szCs w:val="18"/>
          <w:color w:val="auto"/>
        </w:rPr>
        <w:t>Further, federal, state and local legislators and regulators regularly introduce measures or take actions that would modify the regulatory requirements applicable to banks, their holding companies and other financial institutions. Changes in laws, regulations or regulatory policies could adversely affect the operating environment for the Company in substantial and unpredictable ways, increase our cost of doing business, impose new restrictions on the way in which we conduct our operations or add significant operational constraints that might impair our profitability. We cannot predict whether new legislation will be enacted and, if enacted, the effect that it, or any implementing regulations, would have on our business, financial condition or results of operations.</w:t>
      </w:r>
    </w:p>
    <w:p>
      <w:pPr>
        <w:spacing w:after="0" w:line="109" w:lineRule="exact"/>
        <w:rPr>
          <w:sz w:val="20"/>
          <w:szCs w:val="20"/>
          <w:color w:val="auto"/>
        </w:rPr>
      </w:pPr>
    </w:p>
    <w:p>
      <w:pPr>
        <w:ind w:right="40" w:firstLine="315"/>
        <w:spacing w:after="0" w:line="288" w:lineRule="auto"/>
        <w:rPr>
          <w:sz w:val="20"/>
          <w:szCs w:val="20"/>
          <w:color w:val="auto"/>
        </w:rPr>
      </w:pPr>
      <w:r>
        <w:rPr>
          <w:rFonts w:ascii="Times New Roman" w:cs="Times New Roman" w:eastAsia="Times New Roman" w:hAnsi="Times New Roman"/>
          <w:sz w:val="16"/>
          <w:szCs w:val="16"/>
          <w:color w:val="auto"/>
        </w:rPr>
        <w:t>Changes in political administrations are likely to introduce new or modified regulations and related regulatory guidance and supervisory oversight. The current administration's regulatory reform agenda has impacted, and we expect it will continue to impact, the rulemaking, supervision, examination and enforcement priorities of the federal banking agencies. Newly enacted laws, regulations, or executive orders may significantly impact the regulatory framework in which we operate and may require material changes to our business processes in short time frames. Inability to meet new statutory requirements within the prescribed periods could adversely affect our business, financial condition and results of operations, as well as impact our reputation.</w:t>
      </w: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through acquisition or de novo branching requires regulatory approvals, and failure to obtain them may restrict our growth.</w:t>
      </w:r>
    </w:p>
    <w:p>
      <w:pPr>
        <w:spacing w:after="0" w:line="139" w:lineRule="exact"/>
        <w:rPr>
          <w:sz w:val="20"/>
          <w:szCs w:val="20"/>
          <w:color w:val="auto"/>
        </w:rPr>
      </w:pPr>
    </w:p>
    <w:p>
      <w:pPr>
        <w:ind w:right="40" w:firstLine="315"/>
        <w:spacing w:after="0" w:line="246" w:lineRule="auto"/>
        <w:rPr>
          <w:sz w:val="20"/>
          <w:szCs w:val="20"/>
          <w:color w:val="auto"/>
        </w:rPr>
      </w:pPr>
      <w:r>
        <w:rPr>
          <w:rFonts w:ascii="Times New Roman" w:cs="Times New Roman" w:eastAsia="Times New Roman" w:hAnsi="Times New Roman"/>
          <w:sz w:val="18"/>
          <w:szCs w:val="18"/>
          <w:color w:val="auto"/>
        </w:rPr>
        <w:t xml:space="preserve">Although acquisitions have not historically been a material part of our growth strategy, we may identify opportunities to complement and expand our business by pursuing strategic acquisitions of financial institutions and other complementary businesses. We must generally receive federal regulatory approval before we can acquire an institution or business. In determining whether to approve a proposed acquisition, federal banking regulators will consider, among a number of other qualitative and quantitative factors, the effect of the acquisition on competition, the impact on communities served by the acquiring and target institution, the impact on compliance with the CRA and BSA/AML laws and regulations, our financial condition, our future prospects, and the impact of the proposal on U.S. financial stability. Regulatory approvals may not be granted on terms that are acceptable to us, or at all. We may also be required to sell or close branches, or precluded from doing so, as a condition to receiving regulatory approval, which condition may not be acceptable to us or, if acceptable to us, may reduce the benefit of any acquisition. We may continue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branching as a part of our organic growth strategy and possibly enter into new markets through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branching. The failure to obtain regulatory approvals for potential future strategic acquisitions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branches may impact our business plans and restrict our growth.</w:t>
      </w:r>
    </w:p>
    <w:p>
      <w:pPr>
        <w:spacing w:after="0" w:line="188" w:lineRule="exact"/>
        <w:rPr>
          <w:sz w:val="20"/>
          <w:szCs w:val="20"/>
          <w:color w:val="auto"/>
        </w:rPr>
      </w:pPr>
    </w:p>
    <w:p>
      <w:pPr>
        <w:ind w:right="30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Financial institutions, such as BankUnited, face a risk of noncompliance and enforcement action with the Bank Secrecy Act and other anti-money laundering statutes and regulations.</w:t>
      </w:r>
    </w:p>
    <w:p>
      <w:pPr>
        <w:spacing w:after="0" w:line="100" w:lineRule="exact"/>
        <w:rPr>
          <w:sz w:val="20"/>
          <w:szCs w:val="20"/>
          <w:color w:val="auto"/>
        </w:rPr>
      </w:pPr>
    </w:p>
    <w:p>
      <w:pPr>
        <w:ind w:right="100" w:firstLine="315"/>
        <w:spacing w:after="0" w:line="252" w:lineRule="auto"/>
        <w:rPr>
          <w:sz w:val="20"/>
          <w:szCs w:val="20"/>
          <w:color w:val="auto"/>
        </w:rPr>
      </w:pPr>
      <w:r>
        <w:rPr>
          <w:rFonts w:ascii="Times New Roman" w:cs="Times New Roman" w:eastAsia="Times New Roman" w:hAnsi="Times New Roman"/>
          <w:sz w:val="18"/>
          <w:szCs w:val="18"/>
          <w:color w:val="auto"/>
        </w:rPr>
        <w:t>The Bank Secrecy Act, the USA PATRIOT Act, and other laws and regulations require financial institutions, among other duties, to institute and maintain an effective anti-money laundering program and file suspicious activity and currency transaction reports as appropriate. Financial institutions are also required to comply with sanctions and programs administered by OFAC. Numerous regulatory agencies and other governmental departments are involved in enforcement and administration of these provisions.</w:t>
      </w:r>
    </w:p>
    <w:p>
      <w:pPr>
        <w:spacing w:after="0" w:line="116" w:lineRule="exact"/>
        <w:rPr>
          <w:sz w:val="20"/>
          <w:szCs w:val="20"/>
          <w:color w:val="auto"/>
        </w:rPr>
      </w:pPr>
    </w:p>
    <w:p>
      <w:pPr>
        <w:ind w:right="140" w:firstLine="315"/>
        <w:spacing w:after="0" w:line="293" w:lineRule="auto"/>
        <w:rPr>
          <w:sz w:val="20"/>
          <w:szCs w:val="20"/>
          <w:color w:val="auto"/>
        </w:rPr>
      </w:pPr>
      <w:r>
        <w:rPr>
          <w:rFonts w:ascii="Times New Roman" w:cs="Times New Roman" w:eastAsia="Times New Roman" w:hAnsi="Times New Roman"/>
          <w:sz w:val="16"/>
          <w:szCs w:val="16"/>
          <w:color w:val="auto"/>
        </w:rPr>
        <w:t>We dedicate significant resources to ongoing compliance with these laws and regulations, continuously monitor and enhance as necessary related policies and procedures and maintain a robust automated anti-money laundering software solution. If our policies, procedures and systems are deemed deficient, we could be subject to liability, including significant civil monetary fines and to various regulatory actions such as restrictions on our ability to pay dividends, the inability to obtain approval of any contemplated acquisitions and restrictions on our ability to execute certain aspects of our business and expansion plans.</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CRA and fair lending laws, and failure to comply with these laws could lead to material penalties.</w:t>
      </w:r>
    </w:p>
    <w:p>
      <w:pPr>
        <w:spacing w:after="0" w:line="139" w:lineRule="exact"/>
        <w:rPr>
          <w:sz w:val="20"/>
          <w:szCs w:val="20"/>
          <w:color w:val="auto"/>
        </w:rPr>
      </w:pPr>
    </w:p>
    <w:p>
      <w:pPr>
        <w:ind w:firstLine="315"/>
        <w:spacing w:after="0" w:line="288" w:lineRule="auto"/>
        <w:rPr>
          <w:sz w:val="20"/>
          <w:szCs w:val="20"/>
          <w:color w:val="auto"/>
        </w:rPr>
      </w:pPr>
      <w:r>
        <w:rPr>
          <w:rFonts w:ascii="Times New Roman" w:cs="Times New Roman" w:eastAsia="Times New Roman" w:hAnsi="Times New Roman"/>
          <w:sz w:val="16"/>
          <w:szCs w:val="16"/>
          <w:color w:val="auto"/>
        </w:rPr>
        <w:t>The CRA, the Equal Credit Opportunity Act, the Fair Housing Act and other fair lending laws and regulations impose nondiscriminatory lending requirements on financial institutions. The Department of Justice and other federal agencies are responsible for enforcing these laws and regulations. A successful challenge to an institution's performance under the CRA or fair lending laws and regulations could result in a wide variety of sanctions, including the required payment of damages and civil money penalties, injunctive relief, imposition of restrictions on mergers and acquisitions activity, and restrictions on expansion activity. Private parties may also have the ability to challenge an institution's performance under fair lending laws in private class action litigation.</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Any future FDIC assessments could adversely affect our earnings.</w:t>
      </w:r>
    </w:p>
    <w:p>
      <w:pPr>
        <w:spacing w:after="0" w:line="152" w:lineRule="exact"/>
        <w:rPr>
          <w:sz w:val="20"/>
          <w:szCs w:val="20"/>
          <w:color w:val="auto"/>
        </w:rPr>
      </w:pPr>
    </w:p>
    <w:p>
      <w:pPr>
        <w:ind w:right="20" w:firstLine="315"/>
        <w:spacing w:after="0" w:line="252" w:lineRule="auto"/>
        <w:rPr>
          <w:sz w:val="20"/>
          <w:szCs w:val="20"/>
          <w:color w:val="auto"/>
        </w:rPr>
      </w:pPr>
      <w:r>
        <w:rPr>
          <w:rFonts w:ascii="Times New Roman" w:cs="Times New Roman" w:eastAsia="Times New Roman" w:hAnsi="Times New Roman"/>
          <w:sz w:val="18"/>
          <w:szCs w:val="18"/>
          <w:color w:val="auto"/>
        </w:rPr>
        <w:t>Insured depository institutions such as BankUnited are required to pay deposit insurance premiums to the FDIC, which maintains a DIF. If the current level of deposit premiums is insufficient for the DIF to meet its funding requirements in the future, special assessments or increases in deposit insurance premiums may be required. A change in BankUnited's risk classification within the FDIC's risk-based assessment framework could also result in increased deposit insurance premiums.</w:t>
      </w:r>
    </w:p>
    <w:p>
      <w:pPr>
        <w:spacing w:after="0" w:line="103" w:lineRule="exact"/>
        <w:rPr>
          <w:sz w:val="20"/>
          <w:szCs w:val="20"/>
          <w:color w:val="auto"/>
        </w:rPr>
      </w:pPr>
    </w:p>
    <w:p>
      <w:pPr>
        <w:ind w:right="80" w:firstLine="315"/>
        <w:spacing w:after="0" w:line="252" w:lineRule="auto"/>
        <w:rPr>
          <w:sz w:val="20"/>
          <w:szCs w:val="20"/>
          <w:color w:val="auto"/>
        </w:rPr>
      </w:pPr>
      <w:r>
        <w:rPr>
          <w:rFonts w:ascii="Times New Roman" w:cs="Times New Roman" w:eastAsia="Times New Roman" w:hAnsi="Times New Roman"/>
          <w:sz w:val="18"/>
          <w:szCs w:val="18"/>
          <w:color w:val="auto"/>
        </w:rPr>
        <w:t>We are generally unable to control the amount of premiums that we are required to pay for FDIC insurance. There is also a risk that BankUnited’s deposit insurance premiums will further increase if failures of insured depository institutions deplete the DIF or if the FDIC changes its view of the risk BankUnited poses to the DIF or otherwise increases the assessment rate adjustment applicable to BankUnited’s deposits. Any future increases in FDIC insurance premiums or additional assessments may adversely affect our financial condition or results of operations.</w:t>
      </w:r>
    </w:p>
    <w:p>
      <w:pPr>
        <w:spacing w:after="0" w:line="112" w:lineRule="exact"/>
        <w:rPr>
          <w:sz w:val="20"/>
          <w:szCs w:val="20"/>
          <w:color w:val="auto"/>
        </w:rPr>
      </w:pPr>
    </w:p>
    <w:p>
      <w:pPr>
        <w:jc w:val="both"/>
        <w:ind w:right="140" w:firstLine="31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regarding the privacy, information security and protection of personal information and any violation of these laws or another incident involving personal, confidential or proprietary information of individuals could damage our reputation, lead to monetary settlements or penalties and otherwise adversely affect our operations and financial condition.</w:t>
      </w:r>
    </w:p>
    <w:p>
      <w:pPr>
        <w:spacing w:after="0" w:line="112" w:lineRule="exact"/>
        <w:rPr>
          <w:sz w:val="20"/>
          <w:szCs w:val="20"/>
          <w:color w:val="auto"/>
        </w:rPr>
      </w:pPr>
    </w:p>
    <w:p>
      <w:pPr>
        <w:jc w:val="both"/>
        <w:ind w:right="160" w:firstLine="315"/>
        <w:spacing w:after="0" w:line="268" w:lineRule="auto"/>
        <w:rPr>
          <w:sz w:val="20"/>
          <w:szCs w:val="20"/>
          <w:color w:val="auto"/>
        </w:rPr>
      </w:pPr>
      <w:r>
        <w:rPr>
          <w:rFonts w:ascii="Times New Roman" w:cs="Times New Roman" w:eastAsia="Times New Roman" w:hAnsi="Times New Roman"/>
          <w:sz w:val="18"/>
          <w:szCs w:val="18"/>
          <w:color w:val="auto"/>
        </w:rPr>
        <w:t>Our business requires the collection and retention of large volumes of customer data, including personally identifiable information in various information systems that we maintain and in those maintained by third party service providers. We are</w:t>
      </w: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21" w:right="359" w:bottom="1440" w:gutter="0" w:footer="0" w:header="0"/>
        </w:sectPr>
      </w:pPr>
    </w:p>
    <w:bookmarkStart w:id="29" w:name="page30"/>
    <w:bookmarkEnd w:id="29"/>
    <w:p>
      <w:pPr>
        <w:spacing w:after="0" w:line="245" w:lineRule="auto"/>
        <w:rPr>
          <w:sz w:val="20"/>
          <w:szCs w:val="20"/>
          <w:color w:val="auto"/>
        </w:rPr>
      </w:pPr>
      <w:r>
        <w:rPr>
          <w:rFonts w:ascii="Times New Roman" w:cs="Times New Roman" w:eastAsia="Times New Roman" w:hAnsi="Times New Roman"/>
          <w:sz w:val="18"/>
          <w:szCs w:val="18"/>
          <w:color w:val="auto"/>
        </w:rPr>
        <w:t>subject to complex and evolving laws and regulations governing the privacy and protection of personal information of individuals (including customers, employees, suppliers and other third parties). For example, our business is subject to the Gramm-Leach-Bliley Act which, among other things: (i) imposes certain limitations on our ability to share nonpublic personal information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Various state and federal banking regulators and states have also enacted data security breach notification requirements with varying levels of individual, consumer, regulatory or law enforcement notification in certain circumstances in the event of a security breach. Ensuring that our collection, use, transfer and storage of personal information complies with all applicable laws and regulations increases our costs. Furthermore, we may not be able to ensure that all of our customers, suppliers, counterparties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we could be exposed to litigation or regulatory sanctions under personal information laws and regulations. Laws and regulations in this area are evolving, and there is a reasonable possibility that additional or modified laws or regulations applicable to us will be enacted. We may incur significant costs to comply with any such new or modified laws or regulations, or our efforts to do so may not be effective.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operations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conditions in the financial markets and economic conditions generally.</w:t>
      </w:r>
    </w:p>
    <w:p>
      <w:pPr>
        <w:spacing w:after="0" w:line="152" w:lineRule="exact"/>
        <w:rPr>
          <w:sz w:val="20"/>
          <w:szCs w:val="20"/>
          <w:color w:val="auto"/>
        </w:rPr>
      </w:pPr>
    </w:p>
    <w:p>
      <w:pPr>
        <w:ind w:firstLine="315"/>
        <w:spacing w:after="0" w:line="247" w:lineRule="auto"/>
        <w:rPr>
          <w:sz w:val="20"/>
          <w:szCs w:val="20"/>
          <w:color w:val="auto"/>
        </w:rPr>
      </w:pPr>
      <w:r>
        <w:rPr>
          <w:rFonts w:ascii="Times New Roman" w:cs="Times New Roman" w:eastAsia="Times New Roman" w:hAnsi="Times New Roman"/>
          <w:sz w:val="18"/>
          <w:szCs w:val="18"/>
          <w:color w:val="auto"/>
        </w:rPr>
        <w:t>Heightened levels of economic uncertainty, volatility or deterioration in business or economic conditions generally, or more specifically in the principal markets in which we do business could have material adverse effects on our business, financial condition and results of operations. These effects may include but are not necessarily limited to: (i) a decrease in demand for our products and services; (ii) an increase in delinquencies and defaults by borrowers or counterparties leading to increased credit losses; (iii) a decline in the value of our assets; (iv) a decrease in earnings; (v) a decline in liquidity and (vi) a decrease in our ability to access the capital markets. We may be negatively affected by the volatility and uncertainty related to inflation and the effects of inflation. Prolonged periods of inflation may lead to an increase in our operating expenses or those of our clients, in turn impacting borrowers' ability to repay their obligations to us. Loan demand could also be negatively impacted. The imposition of tariffs or immigration reform could directly or indirectly adversely impact our clients businesses, and in turn demand for our loan and deposit products or borrowers' ability to repay their loans.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adversely affect our operating results.</w:t>
      </w:r>
    </w:p>
    <w:p>
      <w:pPr>
        <w:spacing w:after="0" w:line="152" w:lineRule="exact"/>
        <w:rPr>
          <w:sz w:val="20"/>
          <w:szCs w:val="20"/>
          <w:color w:val="auto"/>
        </w:rPr>
      </w:pPr>
    </w:p>
    <w:p>
      <w:pPr>
        <w:ind w:firstLine="315"/>
        <w:spacing w:after="0" w:line="246" w:lineRule="auto"/>
        <w:rPr>
          <w:sz w:val="20"/>
          <w:szCs w:val="20"/>
          <w:color w:val="auto"/>
        </w:rPr>
      </w:pPr>
      <w:r>
        <w:rPr>
          <w:rFonts w:ascii="Times New Roman" w:cs="Times New Roman" w:eastAsia="Times New Roman" w:hAnsi="Times New Roman"/>
          <w:sz w:val="18"/>
          <w:szCs w:val="18"/>
          <w:color w:val="auto"/>
        </w:rPr>
        <w:t>Our ability to originate new business and maintain existing customer relationships is highly dependent upon customer and other external perceptions of our business practices. Adverse perceptions regarding our business practices, or those of other regional banks, could damage our reputation in the customer, funding and capital markets, leading to difficulties in generating and maintaining business as well as obtaining financing. Negative public opinion can result from our actual or alleged conduct in any number of activities, including lending practices, employee relations, corporate governance and acquisitions and from actions taken by government regulators and community organizations in response to those activities. The proliferation of social media may increase the likelihood that negative public opinion from any real or perceived events could impact our reputation and business. Adverse developments with respect to external perceptions regarding the practices of our competitors, or our industry as a whole, or the general economic climate may also adversely impact our reputation. These perceptions about us could cause our business to be negatively affected and exacerbate the other risks that we face. In addition, adverse reputational impacts on third parties with whom we have important relationships may adversely impact our reputation. Adverse reputational impacts or events may also increase our litigation risk.</w:t>
      </w:r>
    </w:p>
    <w:p>
      <w:pPr>
        <w:spacing w:after="0" w:line="188" w:lineRule="exact"/>
        <w:rPr>
          <w:sz w:val="20"/>
          <w:szCs w:val="20"/>
          <w:color w:val="auto"/>
        </w:rPr>
      </w:pPr>
    </w:p>
    <w:p>
      <w:pPr>
        <w:ind w:right="12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enterprise risk management framework may not be effective in mitigating the risks to which we are subject, or in reducing the potential for losses in connection with such risks.</w:t>
      </w:r>
    </w:p>
    <w:p>
      <w:pPr>
        <w:spacing w:after="0" w:line="87" w:lineRule="exact"/>
        <w:rPr>
          <w:sz w:val="20"/>
          <w:szCs w:val="20"/>
          <w:color w:val="auto"/>
        </w:rPr>
      </w:pPr>
    </w:p>
    <w:p>
      <w:pPr>
        <w:ind w:right="20" w:firstLine="315"/>
        <w:spacing w:after="0" w:line="249" w:lineRule="auto"/>
        <w:rPr>
          <w:sz w:val="20"/>
          <w:szCs w:val="20"/>
          <w:color w:val="auto"/>
        </w:rPr>
      </w:pPr>
      <w:r>
        <w:rPr>
          <w:rFonts w:ascii="Times New Roman" w:cs="Times New Roman" w:eastAsia="Times New Roman" w:hAnsi="Times New Roman"/>
          <w:sz w:val="18"/>
          <w:szCs w:val="18"/>
          <w:color w:val="auto"/>
        </w:rPr>
        <w:t>Our enterprise risk management framework is designed to identify, measure, mitigate and manage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 inherently limited in their ability to anticipate the existence or development of risks that are currently unknown and unanticipated. The ineffectiveness of our enterprise risk management framework in mitigating the impact of known risks or</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0" w:name="page31"/>
    <w:bookmarkEnd w:id="30"/>
    <w:p>
      <w:pPr>
        <w:ind w:right="60"/>
        <w:spacing w:after="0" w:line="268" w:lineRule="auto"/>
        <w:rPr>
          <w:sz w:val="20"/>
          <w:szCs w:val="20"/>
          <w:color w:val="auto"/>
        </w:rPr>
      </w:pPr>
      <w:r>
        <w:rPr>
          <w:rFonts w:ascii="Times New Roman" w:cs="Times New Roman" w:eastAsia="Times New Roman" w:hAnsi="Times New Roman"/>
          <w:sz w:val="18"/>
          <w:szCs w:val="18"/>
          <w:color w:val="auto"/>
        </w:rPr>
        <w:t>the emergence of previously unknown or unanticipated risks may result in our incurring losses in the future that could adversely impact our financial condition and results of operations.</w:t>
      </w:r>
    </w:p>
    <w:p>
      <w:pPr>
        <w:spacing w:after="0" w:line="165" w:lineRule="exact"/>
        <w:rPr>
          <w:sz w:val="20"/>
          <w:szCs w:val="20"/>
          <w:color w:val="auto"/>
        </w:rPr>
      </w:pPr>
    </w:p>
    <w:p>
      <w:pPr>
        <w:ind w:right="280" w:firstLine="31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reported financial results depend on management's selection and application of accounting policies and methods and related assumptions and estimates.</w:t>
      </w:r>
    </w:p>
    <w:p>
      <w:pPr>
        <w:spacing w:after="0" w:line="100" w:lineRule="exact"/>
        <w:rPr>
          <w:sz w:val="20"/>
          <w:szCs w:val="20"/>
          <w:color w:val="auto"/>
        </w:rPr>
      </w:pPr>
    </w:p>
    <w:p>
      <w:pPr>
        <w:ind w:right="100" w:firstLine="315"/>
        <w:spacing w:after="0" w:line="247" w:lineRule="auto"/>
        <w:rPr>
          <w:sz w:val="20"/>
          <w:szCs w:val="20"/>
          <w:color w:val="auto"/>
        </w:rPr>
      </w:pPr>
      <w:r>
        <w:rPr>
          <w:rFonts w:ascii="Times New Roman" w:cs="Times New Roman" w:eastAsia="Times New Roman" w:hAnsi="Times New Roman"/>
          <w:sz w:val="18"/>
          <w:szCs w:val="18"/>
          <w:color w:val="auto"/>
        </w:rPr>
        <w:t>Our accounting policies and estimates are fundamental to our reported financial condition and results of operations. Management is required to make difficult, complex or subjective judgments in selecting and applying many of these accounting policies. In some cases, management must select an accounting policy or method from two or more alternatives, any of which may be reasonable under the circumstances, yet may result in us reporting materially different results than would have been reported under a different alternative. From time to time, the FASB and SEC may change the financial accounting and reporting standards that govern the preparation of our financial statements. These changes can be difficult to predict and can materially impact our reported financial condition and results of operations. In some cases, we could be required to apply a new or revised standard retrospectively, resulting in a restatement of prior period financial statements. See Note 1 to the consolidated financial statements for more information about our accounting policies and recent accounting pronouncements that may have a material impact on our reported financial results.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taxes and other assessments may adversely affect us.</w:t>
      </w:r>
    </w:p>
    <w:p>
      <w:pPr>
        <w:spacing w:after="0" w:line="152" w:lineRule="exact"/>
        <w:rPr>
          <w:sz w:val="20"/>
          <w:szCs w:val="20"/>
          <w:color w:val="auto"/>
        </w:rPr>
      </w:pPr>
    </w:p>
    <w:p>
      <w:pPr>
        <w:ind w:firstLine="315"/>
        <w:spacing w:after="0" w:line="246" w:lineRule="auto"/>
        <w:rPr>
          <w:sz w:val="20"/>
          <w:szCs w:val="20"/>
          <w:color w:val="auto"/>
        </w:rPr>
      </w:pPr>
      <w:r>
        <w:rPr>
          <w:rFonts w:ascii="Times New Roman" w:cs="Times New Roman" w:eastAsia="Times New Roman" w:hAnsi="Times New Roman"/>
          <w:sz w:val="18"/>
          <w:szCs w:val="18"/>
          <w:color w:val="252525"/>
        </w:rPr>
        <w:t xml:space="preserve">The legislatures and taxing authorities in the tax jurisdictions in which we operate regularly enact reforms to the tax and other assessment regimes to which we and our customers are subject. The effects of these changes and any other changes that result from interpreting and implementing regulations or enactment of additional tax reforms cannot be quantified and there can be no assurance that any such reforms would not have an adverse effect upon our business. </w:t>
      </w:r>
      <w:r>
        <w:rPr>
          <w:rFonts w:ascii="Times New Roman" w:cs="Times New Roman" w:eastAsia="Times New Roman" w:hAnsi="Times New Roman"/>
          <w:sz w:val="18"/>
          <w:szCs w:val="18"/>
          <w:color w:val="000000"/>
        </w:rPr>
        <w:t>Tax</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laws are complex and subject to different interpretations by the taxpayer and relevant governmental taxing authorities, which are sometimes subject to prolonged evaluation periods until a final resolution is reached. In establishing a provision for income tax expense, filing returns and establishing the value of deferred tax assets and liabilities for purposes of its financial statements, the Company must make judgments and interpretations about the application of these inherently complex tax laws. If the judgments, estimates and assumptions the Company uses in establishing provisions, preparing its tax returns or establishing the value of deferred tax assets and liabilities for purposes of its financial statements are subsequently found to be incorrect, there could be a material effect on our financial condition and results of operations.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or may decline.</w:t>
      </w:r>
    </w:p>
    <w:p>
      <w:pPr>
        <w:spacing w:after="0" w:line="152" w:lineRule="exact"/>
        <w:rPr>
          <w:sz w:val="20"/>
          <w:szCs w:val="20"/>
          <w:color w:val="auto"/>
        </w:rPr>
      </w:pPr>
    </w:p>
    <w:p>
      <w:pPr>
        <w:ind w:right="40" w:firstLine="315"/>
        <w:spacing w:after="0" w:line="247" w:lineRule="auto"/>
        <w:rPr>
          <w:sz w:val="20"/>
          <w:szCs w:val="20"/>
          <w:color w:val="auto"/>
        </w:rPr>
      </w:pPr>
      <w:r>
        <w:rPr>
          <w:rFonts w:ascii="Times New Roman" w:cs="Times New Roman" w:eastAsia="Times New Roman" w:hAnsi="Times New Roman"/>
          <w:sz w:val="18"/>
          <w:szCs w:val="18"/>
          <w:color w:val="252525"/>
        </w:rPr>
        <w:t>The price of our common stock may be volatile or may decline. The price of our common stock may fluctuate as a result of a number of factors, many of which are external events outside of management's control. In addition, the stock market is subject to broad or systemic fluctuations in share prices and trading volumes that affect the market prices of the shares of many companies, including BankUnited, Inc. Factors that could affect our stock price include but are not limited to: (i) actual or anticipated changes in the Company's operating results or financial condition; (ii) performance of the regional banking sector; (iii) failure to meet analysts' estimates; (iv) actual or forecasted macro-economic conditions; (v) rating agency actions; (vi) changes in the competitive or regulatory environment; (vii) actions by large institutional shareholders or other market participants; (viii) events, circumstances or perceptions impacting the financial services sector broadly and (ix) negative publicity about us or other regional banks.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39" w:lineRule="exact"/>
        <w:rPr>
          <w:sz w:val="20"/>
          <w:szCs w:val="20"/>
          <w:color w:val="auto"/>
        </w:rPr>
      </w:pPr>
    </w:p>
    <w:p>
      <w:pPr>
        <w:ind w:right="200" w:firstLine="315"/>
        <w:spacing w:after="0" w:line="285" w:lineRule="auto"/>
        <w:rPr>
          <w:sz w:val="20"/>
          <w:szCs w:val="20"/>
          <w:color w:val="auto"/>
        </w:rPr>
      </w:pPr>
      <w:r>
        <w:rPr>
          <w:rFonts w:ascii="Times New Roman" w:cs="Times New Roman" w:eastAsia="Times New Roman" w:hAnsi="Times New Roman"/>
          <w:sz w:val="16"/>
          <w:szCs w:val="16"/>
          <w:color w:val="auto"/>
        </w:rPr>
        <w:t>We are committed to maintaining robust governance, oversight and management of cybersecurity risk. We have established and implemented processes, supported by written policies and procedures, to detect, assess, classify, respond to, report, track, and resolve cybersecurity threats or incidents. We have implemented systems and controls to address the information technology risks to our organization, our business partners and our customers. We employ a layered security approach leveraging diverse strategies including data loss prevention, identity and access management, network security, vulnerability management, end-point security and information security education and awareness, among others. As a federally regulated institution, the Company strongly supports an environment that facilitates and abides by the Confidentiality, Integrity, and Availability security principles.</w:t>
      </w: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46" w:right="379" w:bottom="1440" w:gutter="0" w:footer="0" w:header="0"/>
        </w:sectPr>
      </w:pPr>
    </w:p>
    <w:bookmarkStart w:id="31" w:name="page32"/>
    <w:bookmarkEnd w:id="31"/>
    <w:p>
      <w:pPr>
        <w:ind w:right="80" w:firstLine="315"/>
        <w:spacing w:after="0" w:line="246" w:lineRule="auto"/>
        <w:rPr>
          <w:sz w:val="20"/>
          <w:szCs w:val="20"/>
          <w:color w:val="auto"/>
        </w:rPr>
      </w:pPr>
      <w:r>
        <w:rPr>
          <w:rFonts w:ascii="Times New Roman" w:cs="Times New Roman" w:eastAsia="Times New Roman" w:hAnsi="Times New Roman"/>
          <w:sz w:val="18"/>
          <w:szCs w:val="18"/>
          <w:color w:val="auto"/>
        </w:rPr>
        <w:t>Our risk-based policies, procedures, and practices are integrated into our overall risk management program and have been implemented across the organization to manage and mitigate risks from cybersecurity threats. We continuously assess risks from cybersecurity threats and monitor our information systems for potential vulnerabilities. We conduct regular reviews and tests of our information security program including penetration and vulnerability testing, and other exercises to evaluate the effectiveness of our program and improve our cybersecurity posture. These evaluations provide the Company with an unbiased view of its environment and controls. All identified cybersecurity incidents, technology outages or failures and vulnerabilities identified during these assessments are inventoried in a centralized tracking system and reported to impacted users and to management on a regular basis. A multi-step approach is applied to identify, prioritize, report, and remediate these vulnerabilities. Response and resolution times (commonly known as SLAs) are established for remediation of any incidents or outages detected, depending on their nature and potential impact. Our cybersecurity policies, procedures and practices are integrated with our overall risk management program by inclusion of cybersecurity and information systems metrics in our enterprise-wide comprehensive risk assessment process and risk appetite statement, the involvement of our Chief Risk Officer in the MAT and oversight of cybersecurity risk by our Enterprise Risk Management Committee and the Risk Committee of the Board of Directors.</w:t>
      </w:r>
    </w:p>
    <w:p>
      <w:pPr>
        <w:spacing w:after="0" w:line="124" w:lineRule="exact"/>
        <w:rPr>
          <w:sz w:val="20"/>
          <w:szCs w:val="20"/>
          <w:color w:val="auto"/>
        </w:rPr>
      </w:pPr>
    </w:p>
    <w:p>
      <w:pPr>
        <w:ind w:right="200" w:firstLine="315"/>
        <w:spacing w:after="0" w:line="252" w:lineRule="auto"/>
        <w:rPr>
          <w:sz w:val="20"/>
          <w:szCs w:val="20"/>
          <w:color w:val="auto"/>
        </w:rPr>
      </w:pPr>
      <w:r>
        <w:rPr>
          <w:rFonts w:ascii="Times New Roman" w:cs="Times New Roman" w:eastAsia="Times New Roman" w:hAnsi="Times New Roman"/>
          <w:sz w:val="18"/>
          <w:szCs w:val="18"/>
          <w:color w:val="auto"/>
        </w:rPr>
        <w:t>We have engaged cybersecurity service provider experts and maintain an industry-leading incident response retainer to further enhance our cybersecurity safeguards and support our processes for assessing, identifying, and managing material risks from cybersecurity threats. Our third-party experts perform assessments that aid us in effectively detecting and responding to evolving cybersecurity threats and, in the event of a cybersecurity incident, our experts will assist us with incident response support, digital forensics and incident remediation.</w:t>
      </w:r>
    </w:p>
    <w:p>
      <w:pPr>
        <w:spacing w:after="0" w:line="116" w:lineRule="exact"/>
        <w:rPr>
          <w:sz w:val="20"/>
          <w:szCs w:val="20"/>
          <w:color w:val="auto"/>
        </w:rPr>
      </w:pPr>
    </w:p>
    <w:p>
      <w:pPr>
        <w:ind w:right="80" w:firstLine="315"/>
        <w:spacing w:after="0" w:line="283" w:lineRule="auto"/>
        <w:rPr>
          <w:sz w:val="20"/>
          <w:szCs w:val="20"/>
          <w:color w:val="auto"/>
        </w:rPr>
      </w:pPr>
      <w:r>
        <w:rPr>
          <w:rFonts w:ascii="Times New Roman" w:cs="Times New Roman" w:eastAsia="Times New Roman" w:hAnsi="Times New Roman"/>
          <w:sz w:val="16"/>
          <w:szCs w:val="16"/>
          <w:color w:val="auto"/>
        </w:rPr>
        <w:t>The Company’s third-party risk management framework and processes have been aligned with regulatory requirements and with industry best practices to oversee and identify risks from cybersecurity threats associated with use of third-party service providers. We take a risk-based approach in performing cybersecurity assessments of third-party service providers at the time of onboarding, as part of regular ongoing monitoring, at the time of contract renewal, and upon detection of any increase in risk profile. Our information security division collaborates with our third-party risk management unit to evaluate the information technology and security programs of significant third-party service providers. As applicable, these reviews evaluate the design and operational effectiveness of information technology and security related controls employed by service providers. In addition, the third-party’s information technology and security policies and procedures are evaluated to form an overall opinion of the third-party service provider's technology and information security posture.</w:t>
      </w:r>
    </w:p>
    <w:p>
      <w:pPr>
        <w:spacing w:after="0" w:line="85" w:lineRule="exact"/>
        <w:rPr>
          <w:sz w:val="20"/>
          <w:szCs w:val="20"/>
          <w:color w:val="auto"/>
        </w:rPr>
      </w:pPr>
    </w:p>
    <w:p>
      <w:pPr>
        <w:ind w:right="40" w:firstLine="315"/>
        <w:spacing w:after="0" w:line="252" w:lineRule="auto"/>
        <w:rPr>
          <w:sz w:val="20"/>
          <w:szCs w:val="20"/>
          <w:color w:val="auto"/>
        </w:rPr>
      </w:pPr>
      <w:r>
        <w:rPr>
          <w:rFonts w:ascii="Times New Roman" w:cs="Times New Roman" w:eastAsia="Times New Roman" w:hAnsi="Times New Roman"/>
          <w:sz w:val="18"/>
          <w:szCs w:val="18"/>
          <w:color w:val="auto"/>
        </w:rPr>
        <w:t>The Company has developed a training program to educate employees about its cybersecurity policies and standards, best practices, and potential threats to instill a culture of cybersecurity awareness and compliance throughout the organization. The training program includes, but is not limited to, ongoing and targeted training on topics such as social engineering, mobile security, data handling and protection, password security and incident reporting. All employees are required to participate in the training.</w:t>
      </w:r>
    </w:p>
    <w:p>
      <w:pPr>
        <w:spacing w:after="0" w:line="116" w:lineRule="exact"/>
        <w:rPr>
          <w:sz w:val="20"/>
          <w:szCs w:val="20"/>
          <w:color w:val="auto"/>
        </w:rPr>
      </w:pPr>
    </w:p>
    <w:p>
      <w:pPr>
        <w:ind w:firstLine="315"/>
        <w:spacing w:after="0" w:line="249" w:lineRule="auto"/>
        <w:rPr>
          <w:sz w:val="20"/>
          <w:szCs w:val="20"/>
          <w:color w:val="auto"/>
        </w:rPr>
      </w:pPr>
      <w:r>
        <w:rPr>
          <w:rFonts w:ascii="Times New Roman" w:cs="Times New Roman" w:eastAsia="Times New Roman" w:hAnsi="Times New Roman"/>
          <w:sz w:val="18"/>
          <w:szCs w:val="18"/>
          <w:color w:val="auto"/>
        </w:rPr>
        <w:t>In 2025, Clarium Managed Services, LLC conducted a Cybersecurity Assessment for the Bank. The assessment gauged the overall Cybersecurity Risk Posture of the Bank and resulted in a score of 5 on a scale of 0 to 5. In the last three fiscal years, the Company has not identified any material cybersecurity incidents. No specific identified cybersecurity threats or incidents, including those resulting from any previous cybersecurity incidents, have materially affected, or are reasonably likely to materially affect, the Company, including its business strategy, results of operations or financial condition. See Item 1A "Risk Factors" for a further discussion of our cybersecurity risks.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52" w:lineRule="exact"/>
        <w:rPr>
          <w:sz w:val="20"/>
          <w:szCs w:val="20"/>
          <w:color w:val="auto"/>
        </w:rPr>
      </w:pPr>
    </w:p>
    <w:p>
      <w:pPr>
        <w:ind w:right="20" w:firstLine="315"/>
        <w:spacing w:after="0" w:line="293" w:lineRule="auto"/>
        <w:rPr>
          <w:sz w:val="20"/>
          <w:szCs w:val="20"/>
          <w:color w:val="auto"/>
        </w:rPr>
      </w:pPr>
      <w:r>
        <w:rPr>
          <w:rFonts w:ascii="Times New Roman" w:cs="Times New Roman" w:eastAsia="Times New Roman" w:hAnsi="Times New Roman"/>
          <w:sz w:val="16"/>
          <w:szCs w:val="16"/>
          <w:color w:val="auto"/>
        </w:rPr>
        <w:t>The Risk Committee of the Board of Directors is ultimately responsible for oversight of cybersecurity risk, the Company's information risk management function, and the effective implementation of its cybersecurity program. The CISO reports routinely, typically at each of its regularly scheduled meetings, to the Risk Committee on matters including the Company's cybersecurity program, cybersecurity threats and the cybersecurity threat environment. The Risk Committee formally approves the Company's cybersecurity policy and program annually, and more frequently if material changes are adopted.</w:t>
      </w:r>
    </w:p>
    <w:p>
      <w:pPr>
        <w:spacing w:after="0" w:line="74" w:lineRule="exact"/>
        <w:rPr>
          <w:sz w:val="20"/>
          <w:szCs w:val="20"/>
          <w:color w:val="auto"/>
        </w:rPr>
      </w:pPr>
    </w:p>
    <w:p>
      <w:pPr>
        <w:ind w:right="80" w:firstLine="315"/>
        <w:spacing w:after="0" w:line="285" w:lineRule="auto"/>
        <w:rPr>
          <w:sz w:val="20"/>
          <w:szCs w:val="20"/>
          <w:color w:val="auto"/>
        </w:rPr>
      </w:pPr>
      <w:r>
        <w:rPr>
          <w:rFonts w:ascii="Times New Roman" w:cs="Times New Roman" w:eastAsia="Times New Roman" w:hAnsi="Times New Roman"/>
          <w:sz w:val="16"/>
          <w:szCs w:val="16"/>
          <w:color w:val="auto"/>
        </w:rPr>
        <w:t>At the management level, the CISO provides oversight of the ongoing technical and business functions that include cybersecurity, information assurance, network security, systems engineering, and information security management. A dedicated information security division reports to the CISO. The CISO has over 30 years of experience in information security including physical, cyber, IT, disaster recovery, business continuity planning, secure software development, and cloud services and security, among others. The CISO holds multiple designations from the International Information System Security Certification Consortium, including Certified Information Systems Security Professional and has been a member of various boards including IT, Cybersecurity and Enterprise Risk Committees. Organizationally, the CISO reports to the CRO and provides reporting directly to the Risk Committee of the Board of Directors.</w:t>
      </w: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2" w:name="page33"/>
    <w:bookmarkEnd w:id="32"/>
    <w:p>
      <w:pPr>
        <w:ind w:right="40" w:firstLine="315"/>
        <w:spacing w:after="0" w:line="252" w:lineRule="auto"/>
        <w:rPr>
          <w:sz w:val="20"/>
          <w:szCs w:val="20"/>
          <w:color w:val="auto"/>
        </w:rPr>
      </w:pPr>
      <w:r>
        <w:rPr>
          <w:rFonts w:ascii="Times New Roman" w:cs="Times New Roman" w:eastAsia="Times New Roman" w:hAnsi="Times New Roman"/>
          <w:sz w:val="18"/>
          <w:szCs w:val="18"/>
          <w:color w:val="auto"/>
        </w:rPr>
        <w:t>The Company has designated the MAT to assess and oversee the management and reporting of identified potentially material cybersecurity threats or incidents. The MAT convenes when a qualifying cybersecurity threat is identified by the CIO, the CISO, or their designees in accordance with established processes and procedures. The MAT has the responsibility to determine whether a cybersecurity threat or incident is material and oversee appropriate reporting. The MAT is also responsible for communicating to the Risk Committee any material cybersecurity threats or incidents.</w:t>
      </w:r>
    </w:p>
    <w:p>
      <w:pPr>
        <w:spacing w:after="0" w:line="116" w:lineRule="exact"/>
        <w:rPr>
          <w:sz w:val="20"/>
          <w:szCs w:val="20"/>
          <w:color w:val="auto"/>
        </w:rPr>
      </w:pPr>
    </w:p>
    <w:p>
      <w:pPr>
        <w:ind w:right="140" w:firstLine="315"/>
        <w:spacing w:after="0" w:line="252" w:lineRule="auto"/>
        <w:rPr>
          <w:sz w:val="20"/>
          <w:szCs w:val="20"/>
          <w:color w:val="auto"/>
        </w:rPr>
      </w:pPr>
      <w:r>
        <w:rPr>
          <w:rFonts w:ascii="Times New Roman" w:cs="Times New Roman" w:eastAsia="Times New Roman" w:hAnsi="Times New Roman"/>
          <w:sz w:val="18"/>
          <w:szCs w:val="18"/>
          <w:color w:val="auto"/>
        </w:rPr>
        <w:t>The CISO, CIO, CRO, CFO, CAO, and General Counsel comprise the MAT. Other SMEs or technical experts may advise, consult with and provide information to the MAT as needed. In addition to the specific subject matter expertise and experience of the CISO and CIO, these executives have broad financial, legal, risk management, industry, regulatory and SEC compliance, and general leadership experience, which enable the MAT to effectively carry out its responsibilities.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50"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color w:val="auto"/>
        </w:rPr>
        <w:t>BankUnited's corporate headquarters is located in leased office space in Miami Lakes, Florida. We also lease office space in New York, New Jersey, certain other areas in Florida, Dallas, Atlanta and North Carolina. Our subsidiaries lease office space in Baltimore, Maryland and Scottsdale, Arizona. At December 31, 2025, we provided banking services at 55 banking centers located in Florida, New York, Texas, and Atlanta. We believe that our facilities are in good condition and are adequate to meet our operating needs for the foreseeable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7" w:lineRule="exact"/>
        <w:rPr>
          <w:sz w:val="20"/>
          <w:szCs w:val="20"/>
          <w:color w:val="auto"/>
        </w:rPr>
      </w:pPr>
    </w:p>
    <w:p>
      <w:pPr>
        <w:ind w:right="80" w:firstLine="315"/>
        <w:spacing w:after="0" w:line="256" w:lineRule="auto"/>
        <w:rPr>
          <w:sz w:val="20"/>
          <w:szCs w:val="20"/>
          <w:color w:val="auto"/>
        </w:rPr>
      </w:pPr>
      <w:r>
        <w:rPr>
          <w:rFonts w:ascii="Times New Roman" w:cs="Times New Roman" w:eastAsia="Times New Roman" w:hAnsi="Times New Roman"/>
          <w:sz w:val="18"/>
          <w:szCs w:val="18"/>
          <w:color w:val="auto"/>
        </w:rPr>
        <w:t>The Company is involved as plaintiff or defendant in various legal actions arising in the normal course of business. In the opinion of management, based upon advice of legal counsel, the likelihood is remote that the adverse impact of these proceedings, either individually or in the aggregate, would be material to the Company’s consolidated financial position, results of operations or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 of Record</w:t>
      </w:r>
    </w:p>
    <w:p>
      <w:pPr>
        <w:spacing w:after="0" w:line="150" w:lineRule="exact"/>
        <w:rPr>
          <w:sz w:val="20"/>
          <w:szCs w:val="20"/>
          <w:color w:val="auto"/>
        </w:rPr>
      </w:pPr>
    </w:p>
    <w:p>
      <w:pPr>
        <w:ind w:right="260" w:firstLine="315"/>
        <w:spacing w:after="0" w:line="268" w:lineRule="auto"/>
        <w:rPr>
          <w:sz w:val="20"/>
          <w:szCs w:val="20"/>
          <w:color w:val="auto"/>
        </w:rPr>
      </w:pPr>
      <w:r>
        <w:rPr>
          <w:rFonts w:ascii="Times New Roman" w:cs="Times New Roman" w:eastAsia="Times New Roman" w:hAnsi="Times New Roman"/>
          <w:sz w:val="18"/>
          <w:szCs w:val="18"/>
          <w:color w:val="auto"/>
        </w:rPr>
        <w:t>Shares of our common stock trade on the NYSE under the symbol "BKU". The last sale price of our common stock on the NYSE on February 24, 2026 was $47.79 per share. As of February 24, 2026, there were 539 stockholders of record of our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50" w:lineRule="exact"/>
        <w:rPr>
          <w:sz w:val="20"/>
          <w:szCs w:val="20"/>
          <w:color w:val="auto"/>
        </w:rPr>
      </w:pPr>
    </w:p>
    <w:p>
      <w:pPr>
        <w:ind w:right="340" w:firstLine="315"/>
        <w:spacing w:after="0" w:line="268" w:lineRule="auto"/>
        <w:rPr>
          <w:sz w:val="20"/>
          <w:szCs w:val="20"/>
          <w:color w:val="auto"/>
        </w:rPr>
      </w:pPr>
      <w:r>
        <w:rPr>
          <w:rFonts w:ascii="Times New Roman" w:cs="Times New Roman" w:eastAsia="Times New Roman" w:hAnsi="Times New Roman"/>
          <w:sz w:val="18"/>
          <w:szCs w:val="18"/>
          <w:color w:val="auto"/>
        </w:rPr>
        <w:t>The information set forth under the caption "Equity Compensation Plan Information" in our definitive proxy statement for the Company's 2026 annual meeting of shareholders (the "Proxy Statement")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37" w:lineRule="exact"/>
        <w:rPr>
          <w:sz w:val="20"/>
          <w:szCs w:val="20"/>
          <w:color w:val="auto"/>
        </w:rPr>
      </w:pPr>
    </w:p>
    <w:p>
      <w:pPr>
        <w:ind w:firstLine="315"/>
        <w:spacing w:after="0" w:line="282" w:lineRule="auto"/>
        <w:rPr>
          <w:sz w:val="20"/>
          <w:szCs w:val="20"/>
          <w:color w:val="auto"/>
        </w:rPr>
      </w:pPr>
      <w:r>
        <w:rPr>
          <w:rFonts w:ascii="Times New Roman" w:cs="Times New Roman" w:eastAsia="Times New Roman" w:hAnsi="Times New Roman"/>
          <w:sz w:val="16"/>
          <w:szCs w:val="16"/>
          <w:color w:val="auto"/>
        </w:rPr>
        <w:t>The Company declared a quarterly dividend of $0.31 and $0.29 per share on its common stock for each of the four quarters in the years ended December 31, 2025 and 2024, respectively, resulting in total dividends for the years ended December 31, 2025 and 2024, of $93.8 million and $87.0 million, or $1.24 and $1.16 per common share, respectively. The Company's Board of Directors has authorized an increase of $0.02 per share in the Company's common stock dividend for future quarterly dividends, to $0.33 per common shares. Dividends from the Bank are the principal source of funds for the payment of dividends on our common stock. The Bank is subject to certain restrictions that may limit its ability to pay dividends to us. See "Business—Regulation and Supervision— Regulatory Limits on Dividends and Distributions". The quarterly dividends on our common stock are subject to the discretion of our Board of Directors and dependent on, among other things, our financial condition, results of operations, capital requirements and other factors that our board of directors may deem relevant. The Company expects to continue its policy of paying regular cash dividends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4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37" w:lineRule="exact"/>
        <w:rPr>
          <w:sz w:val="20"/>
          <w:szCs w:val="20"/>
          <w:color w:val="auto"/>
        </w:rPr>
      </w:pPr>
    </w:p>
    <w:p>
      <w:pPr>
        <w:jc w:val="both"/>
        <w:ind w:right="140" w:firstLine="315"/>
        <w:spacing w:after="0" w:line="256"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an initial investment of $100 in our common stock between December 31, 2020 and December 31, 2025, with the comparative cumulative total return of such amount on the S&amp;P 500 Index and the KBW Nasdaq Regional Bank Index over the same period. Reinvestment of all dividends is assumed to have been made in our common stock.</w:t>
      </w:r>
    </w:p>
    <w:p>
      <w:pPr>
        <w:spacing w:after="0" w:line="113"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5116195" cy="3171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1619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Index</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240" w:type="dxa"/>
            <w:vAlign w:val="bottom"/>
          </w:tcPr>
          <w:p>
            <w:pPr>
              <w:spacing w:after="0"/>
              <w:rPr>
                <w:sz w:val="20"/>
                <w:szCs w:val="20"/>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BankUnited, Inc.</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124.39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2240" w:type="dxa"/>
            <w:vAlign w:val="bottom"/>
          </w:tcPr>
          <w:p>
            <w:pPr>
              <w:spacing w:after="0"/>
              <w:rPr>
                <w:sz w:val="21"/>
                <w:szCs w:val="21"/>
                <w:color w:val="auto"/>
              </w:rPr>
            </w:pPr>
          </w:p>
        </w:tc>
      </w:tr>
      <w:tr>
        <w:trPr>
          <w:trHeight w:val="26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128.71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2240" w:type="dxa"/>
            <w:vAlign w:val="bottom"/>
          </w:tcPr>
          <w:p>
            <w:pPr>
              <w:spacing w:after="0"/>
              <w:rPr>
                <w:sz w:val="22"/>
                <w:szCs w:val="22"/>
                <w:color w:val="auto"/>
              </w:rPr>
            </w:pPr>
          </w:p>
        </w:tc>
      </w:tr>
      <w:tr>
        <w:trPr>
          <w:trHeight w:val="25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KBW Nasdaq Regional Banking Index</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136.64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2240" w:type="dxa"/>
            <w:vAlign w:val="bottom"/>
          </w:tcPr>
          <w:p>
            <w:pPr>
              <w:spacing w:after="0"/>
              <w:rPr>
                <w:sz w:val="21"/>
                <w:szCs w:val="21"/>
                <w:color w:val="auto"/>
              </w:rPr>
            </w:pPr>
          </w:p>
        </w:tc>
      </w:tr>
      <w:tr>
        <w:trPr>
          <w:trHeight w:val="697"/>
        </w:trPr>
        <w:tc>
          <w:tcPr>
            <w:tcW w:w="3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3"/>
        </w:trPr>
        <w:tc>
          <w:tcPr>
            <w:tcW w:w="3080" w:type="dxa"/>
            <w:vAlign w:val="bottom"/>
            <w:tcBorders>
              <w:bottom w:val="single" w:sz="8" w:color="9A9A9A"/>
            </w:tcBorders>
          </w:tcPr>
          <w:p>
            <w:pPr>
              <w:spacing w:after="0"/>
              <w:rPr>
                <w:sz w:val="21"/>
                <w:szCs w:val="21"/>
                <w:color w:val="auto"/>
              </w:rPr>
            </w:pPr>
          </w:p>
        </w:tc>
        <w:tc>
          <w:tcPr>
            <w:tcW w:w="118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c>
          <w:tcPr>
            <w:tcW w:w="940" w:type="dxa"/>
            <w:vAlign w:val="bottom"/>
            <w:tcBorders>
              <w:bottom w:val="single" w:sz="8" w:color="9A9A9A"/>
            </w:tcBorders>
          </w:tcPr>
          <w:p>
            <w:pPr>
              <w:spacing w:after="0"/>
              <w:rPr>
                <w:sz w:val="21"/>
                <w:szCs w:val="21"/>
                <w:color w:val="auto"/>
              </w:rPr>
            </w:pPr>
          </w:p>
        </w:tc>
        <w:tc>
          <w:tcPr>
            <w:tcW w:w="940" w:type="dxa"/>
            <w:vAlign w:val="bottom"/>
            <w:tcBorders>
              <w:bottom w:val="single" w:sz="8" w:color="9A9A9A"/>
            </w:tcBorders>
          </w:tcPr>
          <w:p>
            <w:pPr>
              <w:spacing w:after="0"/>
              <w:rPr>
                <w:sz w:val="21"/>
                <w:szCs w:val="21"/>
                <w:color w:val="auto"/>
              </w:rPr>
            </w:pPr>
          </w:p>
        </w:tc>
        <w:tc>
          <w:tcPr>
            <w:tcW w:w="94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c>
          <w:tcPr>
            <w:tcW w:w="224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35" w:name="page36"/>
    <w:bookmarkEnd w:id="35"/>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3"/>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jc w:val="center"/>
              <w:ind w:right="23"/>
              <w:spacing w:after="0" w:line="125" w:lineRule="exact"/>
              <w:rPr>
                <w:sz w:val="20"/>
                <w:szCs w:val="20"/>
                <w:color w:val="auto"/>
              </w:rPr>
            </w:pPr>
            <w:r>
              <w:rPr>
                <w:rFonts w:ascii="Times New Roman" w:cs="Times New Roman" w:eastAsia="Times New Roman" w:hAnsi="Times New Roman"/>
                <w:sz w:val="14"/>
                <w:szCs w:val="14"/>
                <w:b w:val="1"/>
                <w:bCs w:val="1"/>
                <w:color w:val="auto"/>
                <w:w w:val="99"/>
              </w:rPr>
              <w:t>Maximum number (or</w:t>
            </w:r>
          </w:p>
        </w:tc>
        <w:tc>
          <w:tcPr>
            <w:tcW w:w="0" w:type="dxa"/>
            <w:vAlign w:val="bottom"/>
          </w:tcPr>
          <w:p>
            <w:pPr>
              <w:spacing w:after="0"/>
              <w:rPr>
                <w:sz w:val="1"/>
                <w:szCs w:val="1"/>
                <w:color w:val="auto"/>
              </w:rPr>
            </w:pPr>
          </w:p>
        </w:tc>
      </w:tr>
      <w:tr>
        <w:trPr>
          <w:trHeight w:val="131"/>
        </w:trPr>
        <w:tc>
          <w:tcPr>
            <w:tcW w:w="1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jc w:val="center"/>
              <w:ind w:right="23"/>
              <w:spacing w:after="0" w:line="131" w:lineRule="exact"/>
              <w:rPr>
                <w:sz w:val="20"/>
                <w:szCs w:val="20"/>
                <w:color w:val="auto"/>
              </w:rPr>
            </w:pPr>
            <w:r>
              <w:rPr>
                <w:rFonts w:ascii="Times New Roman" w:cs="Times New Roman" w:eastAsia="Times New Roman" w:hAnsi="Times New Roman"/>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45"/>
        </w:trPr>
        <w:tc>
          <w:tcPr>
            <w:tcW w:w="1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16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5"/>
        </w:trPr>
        <w:tc>
          <w:tcPr>
            <w:tcW w:w="1800" w:type="dxa"/>
            <w:vAlign w:val="bottom"/>
          </w:tcPr>
          <w:p>
            <w:pPr>
              <w:spacing w:after="0"/>
              <w:rPr>
                <w:sz w:val="12"/>
                <w:szCs w:val="12"/>
                <w:color w:val="auto"/>
              </w:rPr>
            </w:pPr>
          </w:p>
        </w:tc>
        <w:tc>
          <w:tcPr>
            <w:tcW w:w="2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60" w:type="dxa"/>
            <w:vAlign w:val="bottom"/>
            <w:gridSpan w:val="2"/>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publicly announced plans 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w w:val="98"/>
              </w:rPr>
              <w:t>purchased under the plans or</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2520" w:type="dxa"/>
            <w:vAlign w:val="bottom"/>
            <w:gridSpan w:val="3"/>
            <w:vMerge w:val="continue"/>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shares purchased</w:t>
            </w:r>
            <w:r>
              <w:rPr>
                <w:rFonts w:ascii="Times New Roman" w:cs="Times New Roman" w:eastAsia="Times New Roman" w:hAnsi="Times New Roman"/>
                <w:sz w:val="9"/>
                <w:szCs w:val="9"/>
                <w:b w:val="1"/>
                <w:bCs w:val="1"/>
                <w:color w:val="auto"/>
                <w:w w:val="99"/>
              </w:rPr>
              <w:t>(1)</w:t>
            </w:r>
          </w:p>
        </w:tc>
        <w:tc>
          <w:tcPr>
            <w:tcW w:w="36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programs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9"/>
                <w:szCs w:val="9"/>
                <w:b w:val="1"/>
                <w:bCs w:val="1"/>
                <w:color w:val="auto"/>
                <w:w w:val="98"/>
              </w:rPr>
              <w:t>(2)(3)</w:t>
            </w:r>
          </w:p>
        </w:tc>
        <w:tc>
          <w:tcPr>
            <w:tcW w:w="0" w:type="dxa"/>
            <w:vAlign w:val="bottom"/>
          </w:tcPr>
          <w:p>
            <w:pPr>
              <w:spacing w:after="0"/>
              <w:rPr>
                <w:sz w:val="1"/>
                <w:szCs w:val="1"/>
                <w:color w:val="auto"/>
              </w:rPr>
            </w:pPr>
          </w:p>
        </w:tc>
      </w:tr>
      <w:tr>
        <w:trPr>
          <w:trHeight w:val="223"/>
        </w:trPr>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w:t>
            </w:r>
          </w:p>
        </w:tc>
        <w:tc>
          <w:tcPr>
            <w:tcW w:w="2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October 31, 2025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98,851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96,346,725</w:t>
            </w:r>
          </w:p>
        </w:tc>
        <w:tc>
          <w:tcPr>
            <w:tcW w:w="0" w:type="dxa"/>
            <w:vAlign w:val="bottom"/>
          </w:tcPr>
          <w:p>
            <w:pPr>
              <w:spacing w:after="0"/>
              <w:rPr>
                <w:sz w:val="1"/>
                <w:szCs w:val="1"/>
                <w:color w:val="auto"/>
              </w:rPr>
            </w:pPr>
          </w:p>
        </w:tc>
      </w:tr>
      <w:tr>
        <w:trPr>
          <w:trHeight w:val="223"/>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w:t>
            </w:r>
          </w:p>
        </w:tc>
        <w:tc>
          <w:tcPr>
            <w:tcW w:w="2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November 30,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635,149</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Pr>
          <w:p>
            <w:pPr>
              <w:spacing w:after="0"/>
              <w:rPr>
                <w:sz w:val="19"/>
                <w:szCs w:val="19"/>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635,149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71,398,342</w:t>
            </w:r>
          </w:p>
        </w:tc>
        <w:tc>
          <w:tcPr>
            <w:tcW w:w="0" w:type="dxa"/>
            <w:vAlign w:val="bottom"/>
          </w:tcPr>
          <w:p>
            <w:pPr>
              <w:spacing w:after="0"/>
              <w:rPr>
                <w:sz w:val="1"/>
                <w:szCs w:val="1"/>
                <w:color w:val="auto"/>
              </w:rPr>
            </w:pPr>
          </w:p>
        </w:tc>
      </w:tr>
      <w:tr>
        <w:trPr>
          <w:trHeight w:val="223"/>
        </w:trPr>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1</w:t>
            </w:r>
          </w:p>
        </w:tc>
        <w:tc>
          <w:tcPr>
            <w:tcW w:w="2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349,900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55,476,049</w:t>
            </w:r>
          </w:p>
        </w:tc>
        <w:tc>
          <w:tcPr>
            <w:tcW w:w="0" w:type="dxa"/>
            <w:vAlign w:val="bottom"/>
          </w:tcPr>
          <w:p>
            <w:pPr>
              <w:spacing w:after="0"/>
              <w:rPr>
                <w:sz w:val="1"/>
                <w:szCs w:val="1"/>
                <w:color w:val="auto"/>
              </w:rPr>
            </w:pPr>
          </w:p>
        </w:tc>
      </w:tr>
      <w:tr>
        <w:trPr>
          <w:trHeight w:val="217"/>
        </w:trPr>
        <w:tc>
          <w:tcPr>
            <w:tcW w:w="1800" w:type="dxa"/>
            <w:vAlign w:val="bottom"/>
          </w:tcPr>
          <w:p>
            <w:pPr>
              <w:spacing w:after="0"/>
              <w:rPr>
                <w:sz w:val="18"/>
                <w:szCs w:val="18"/>
                <w:color w:val="auto"/>
              </w:rPr>
            </w:pPr>
          </w:p>
        </w:tc>
        <w:tc>
          <w:tcPr>
            <w:tcW w:w="2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1,083,900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1,083,900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hanging="195"/>
        <w:spacing w:after="0"/>
        <w:tabs>
          <w:tab w:leader="none" w:pos="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during the periods indicated includes shares purchased as part of a publicly announced program.</w:t>
      </w:r>
    </w:p>
    <w:p>
      <w:pPr>
        <w:spacing w:after="0" w:line="154" w:lineRule="exact"/>
        <w:rPr>
          <w:rFonts w:ascii="Times New Roman" w:cs="Times New Roman" w:eastAsia="Times New Roman" w:hAnsi="Times New Roman"/>
          <w:sz w:val="14"/>
          <w:szCs w:val="14"/>
          <w:color w:val="auto"/>
        </w:rPr>
      </w:pPr>
    </w:p>
    <w:p>
      <w:pPr>
        <w:ind w:left="240" w:right="20" w:hanging="235"/>
        <w:spacing w:after="0" w:line="261" w:lineRule="auto"/>
        <w:tabs>
          <w:tab w:leader="none" w:pos="20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22, 2025, the Company's Board of Directors authorized the repurchase of up to $100 million in shares of its outstanding common stock. No time limit was set for the completion of the share repurchase program, and the program may be suspended or discontinued without prior notice at any time. The authorization does not require the Company to acquire any specified number of common shares.</w:t>
      </w:r>
    </w:p>
    <w:p>
      <w:pPr>
        <w:spacing w:after="0" w:line="118" w:lineRule="exact"/>
        <w:rPr>
          <w:rFonts w:ascii="Times New Roman" w:cs="Times New Roman" w:eastAsia="Times New Roman" w:hAnsi="Times New Roman"/>
          <w:sz w:val="14"/>
          <w:szCs w:val="14"/>
          <w:color w:val="auto"/>
        </w:rPr>
      </w:pPr>
    </w:p>
    <w:p>
      <w:pPr>
        <w:ind w:left="240" w:right="160" w:hanging="235"/>
        <w:spacing w:after="0" w:line="261" w:lineRule="auto"/>
        <w:tabs>
          <w:tab w:leader="none" w:pos="20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20, 2026, the Company's Board of Directors authorized the repurchase of up to $200 million in shares of its outstanding common stock in addition to shares remaining available for purchase under the repurchase program approved on July 22, 2025. No time limit was set for the completion of the share repurchase program and the program may be suspended or discontinued without prior notice at any time. The authorization does not require the Company to acquire any specified number of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35" w:lineRule="exact"/>
        <w:rPr>
          <w:sz w:val="20"/>
          <w:szCs w:val="20"/>
          <w:color w:val="auto"/>
        </w:rPr>
      </w:pPr>
    </w:p>
    <w:p>
      <w:pPr>
        <w:ind w:firstLine="315"/>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assist readers in understanding the consolidated financial condition and results of operations of BankUnited, Inc. and its subsidiary (the "Company", "we", "us" and "our") and should be read in conjunction with the consolidated financial statements, accompanying footnotes and supplemental financial data included herein.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"Risk Factors." We assume no obligation to update any of these forward-looking statements.</w:t>
      </w:r>
    </w:p>
    <w:p>
      <w:pPr>
        <w:spacing w:after="0" w:line="186" w:lineRule="exact"/>
        <w:rPr>
          <w:sz w:val="20"/>
          <w:szCs w:val="20"/>
          <w:color w:val="auto"/>
        </w:rPr>
      </w:pPr>
    </w:p>
    <w:p>
      <w:pPr>
        <w:ind w:right="220" w:firstLine="315"/>
        <w:spacing w:after="0" w:line="249" w:lineRule="auto"/>
        <w:rPr>
          <w:sz w:val="20"/>
          <w:szCs w:val="20"/>
          <w:color w:val="auto"/>
        </w:rPr>
      </w:pPr>
      <w:r>
        <w:rPr>
          <w:rFonts w:ascii="Times New Roman" w:cs="Times New Roman" w:eastAsia="Times New Roman" w:hAnsi="Times New Roman"/>
          <w:sz w:val="18"/>
          <w:szCs w:val="18"/>
          <w:color w:val="auto"/>
        </w:rPr>
        <w:t>Management's discussion and analysis presents the more significant factors that affected our financial condition as of December 31, 2025, and results of operations for the year then ended, including in comparison to the prior year ended December 31, 2024. Refer to Item 7 "Management’s Discussion and Analysis of Financial Condition and Results of Operations" included in our Annual Report on Form 10-K filed with the SEC on February 28, 2025, for a discussion and analysis of the more significant factors that affected the year ended December 31, 2024, including in comparison to the year ended December 31, 2023.</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Vision and Strategic Priorities</w:t>
      </w:r>
    </w:p>
    <w:p>
      <w:pPr>
        <w:spacing w:after="0" w:line="152" w:lineRule="exact"/>
        <w:rPr>
          <w:sz w:val="20"/>
          <w:szCs w:val="20"/>
          <w:color w:val="auto"/>
        </w:rPr>
      </w:pPr>
    </w:p>
    <w:p>
      <w:pPr>
        <w:ind w:right="140" w:firstLine="315"/>
        <w:spacing w:after="0" w:line="256" w:lineRule="auto"/>
        <w:rPr>
          <w:sz w:val="20"/>
          <w:szCs w:val="20"/>
          <w:color w:val="auto"/>
        </w:rPr>
      </w:pPr>
      <w:r>
        <w:rPr>
          <w:rFonts w:ascii="Times New Roman" w:cs="Times New Roman" w:eastAsia="Times New Roman" w:hAnsi="Times New Roman"/>
          <w:sz w:val="18"/>
          <w:szCs w:val="18"/>
          <w:color w:val="auto"/>
        </w:rPr>
        <w:t>Our vision is to build a leading regional commercial and small business bank, with a distinctive value proposition based on strong service-oriented relationships, robust digital enabled customer experiences, and operational excellence with an entrepreneurial work environment that empowers employees to deliver their best. Our strategic priorities, focused on improving core profitability, include:</w:t>
      </w:r>
    </w:p>
    <w:p>
      <w:pPr>
        <w:spacing w:after="0" w:line="113" w:lineRule="exact"/>
        <w:rPr>
          <w:sz w:val="20"/>
          <w:szCs w:val="20"/>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core customer relationships on both sides of the balance sheet;</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the funding profile - growth in core deposit relationships is paramount:</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NIDDA particularly in national deposit verticals, middle-market and small business;</w:t>
      </w:r>
    </w:p>
    <w:p>
      <w:pPr>
        <w:spacing w:after="0" w:line="147"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payments technology and leverage treasury solutions to enhance deposit acquisition and promote customer retention;</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asset mix, transitioning to a mix of assets with higher risk-adjusted returns:</w:t>
      </w:r>
    </w:p>
    <w:p>
      <w:pPr>
        <w:spacing w:after="0" w:line="147" w:lineRule="exact"/>
        <w:rPr>
          <w:rFonts w:ascii="Times New Roman" w:cs="Times New Roman" w:eastAsia="Times New Roman" w:hAnsi="Times New Roman"/>
          <w:sz w:val="18"/>
          <w:szCs w:val="18"/>
          <w:color w:val="auto"/>
        </w:rPr>
      </w:pPr>
    </w:p>
    <w:p>
      <w:pPr>
        <w:ind w:left="1260" w:right="140" w:hanging="309"/>
        <w:spacing w:after="0" w:line="268" w:lineRule="auto"/>
        <w:tabs>
          <w:tab w:leader="none" w:pos="12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Rebalance the loan portfolio toward higher-yielding commercial lending as lower-yielding residential loans roll off, driving NIM expansion through mix shift;</w:t>
      </w:r>
    </w:p>
    <w:p>
      <w:pPr>
        <w:spacing w:after="0" w:line="102" w:lineRule="exact"/>
        <w:rPr>
          <w:rFonts w:ascii="Times New Roman" w:cs="Times New Roman" w:eastAsia="Times New Roman" w:hAnsi="Times New Roman"/>
          <w:sz w:val="18"/>
          <w:szCs w:val="18"/>
          <w:color w:val="auto"/>
        </w:rPr>
      </w:pPr>
    </w:p>
    <w:p>
      <w:pPr>
        <w:ind w:left="1260" w:hanging="309"/>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de-emphasize the BFG portfolio;</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key markets and geographies, specifically Florida, Texas, Georgia and New Jersey;</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Play where we can win, focusing on sectors where our delivery model is a differentiator;</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with solutions that solve customer pain points;</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organic growth capabilities - people, processes, products and technology - while managing expense growth;</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 nimble technology architecture and digital capabilities;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the ability to pivot nimbly when opportunities arise;</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robust liquidity and capital levels, while returning excess capital to shareholders as appropriate;</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closely monitor and manage credit;</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primary growth strategy is organic, we will continue to monitor the M&amp;A landscape.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Some of the challenges we face in executing on our strategic priorities, some of which may impact the banking industry more broadly, include:</w:t>
      </w:r>
    </w:p>
    <w:p>
      <w:pPr>
        <w:spacing w:after="0" w:line="148" w:lineRule="exact"/>
        <w:rPr>
          <w:sz w:val="20"/>
          <w:szCs w:val="20"/>
          <w:color w:val="auto"/>
        </w:rPr>
      </w:pPr>
    </w:p>
    <w:p>
      <w:pPr>
        <w:ind w:left="640" w:right="300" w:hanging="319"/>
        <w:spacing w:after="0" w:line="268"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strategic objectives is highly dependent on our ability to grow core client relationships. Competition for deposits and loans in our markets is intense with respect to the variety and quality of products and services offered,</w:t>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23" w:right="379" w:bottom="1440" w:gutter="0" w:footer="0" w:header="0"/>
        </w:sectPr>
      </w:pPr>
    </w:p>
    <w:bookmarkStart w:id="37" w:name="page38"/>
    <w:bookmarkEnd w:id="37"/>
    <w:p>
      <w:pPr>
        <w:ind w:left="640" w:right="100"/>
        <w:spacing w:after="0" w:line="268" w:lineRule="auto"/>
        <w:rPr>
          <w:sz w:val="20"/>
          <w:szCs w:val="20"/>
          <w:color w:val="auto"/>
        </w:rPr>
      </w:pPr>
      <w:r>
        <w:rPr>
          <w:rFonts w:ascii="Times New Roman" w:cs="Times New Roman" w:eastAsia="Times New Roman" w:hAnsi="Times New Roman"/>
          <w:sz w:val="18"/>
          <w:szCs w:val="18"/>
          <w:color w:val="auto"/>
        </w:rPr>
        <w:t>delivery channels, service levels and pricing. The economic health of our primary markets, monetary and fiscal policy, our ability to attract and retain talent and our ability to deliver technology and product solutions will impact execution of these objectives.</w:t>
      </w:r>
    </w:p>
    <w:p>
      <w:pPr>
        <w:spacing w:after="0" w:line="103" w:lineRule="exact"/>
        <w:rPr>
          <w:sz w:val="20"/>
          <w:szCs w:val="20"/>
          <w:color w:val="auto"/>
        </w:rPr>
      </w:pPr>
    </w:p>
    <w:p>
      <w:pPr>
        <w:ind w:left="640" w:right="140" w:hanging="319"/>
        <w:spacing w:after="0" w:line="256"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trajectories of the macro-economy, interest rates, and monetary and fiscal policy are uncertain. The impact of these macro factors on our customers and prospective customers also impacts us. If macro conditions are less supportive than we currently anticipate, we may be less successful in executing our strategic priorities.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1A - Risk Factors" for additional discussion of risks to the execution of our strategic priorities.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2025 Performance Highlights</w:t>
      </w:r>
    </w:p>
    <w:p>
      <w:pPr>
        <w:spacing w:after="0" w:line="152" w:lineRule="exact"/>
        <w:rPr>
          <w:sz w:val="20"/>
          <w:szCs w:val="20"/>
          <w:color w:val="auto"/>
        </w:rPr>
      </w:pPr>
    </w:p>
    <w:p>
      <w:pPr>
        <w:ind w:firstLine="315"/>
        <w:spacing w:after="0" w:line="248" w:lineRule="auto"/>
        <w:rPr>
          <w:sz w:val="20"/>
          <w:szCs w:val="20"/>
          <w:color w:val="auto"/>
        </w:rPr>
      </w:pPr>
      <w:r>
        <w:rPr>
          <w:rFonts w:ascii="Times New Roman" w:cs="Times New Roman" w:eastAsia="Times New Roman" w:hAnsi="Times New Roman"/>
          <w:sz w:val="18"/>
          <w:szCs w:val="18"/>
          <w:color w:val="auto"/>
        </w:rPr>
        <w:t>In evaluating our financial performance, we consider (i) the funding mix and the composition of interest earning assets; (ii) the level of and trends in net interest income and the net interest margin; (iii) the cost of deposits, trends in non-interest income and non-interest expense; (iv) performance ratios such as the return on average equity and return on average assets and trends in those metrics; and (v) asset quality metrics, including the level of criticized and classified assets, the ratios of non-performing loans to total loans and non-performing assets to total assets, delinquency and net charge-off rates, as well as trends in those metrics. We analyze these ratios and trends against our own historical performance, our expected performance, our risk appetite and the financial condition and performance of comparable financial institutions.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Highlights include:</w:t>
      </w:r>
    </w:p>
    <w:p>
      <w:pPr>
        <w:spacing w:after="0" w:line="148" w:lineRule="exact"/>
        <w:rPr>
          <w:sz w:val="20"/>
          <w:szCs w:val="20"/>
          <w:color w:val="auto"/>
        </w:rPr>
      </w:pPr>
    </w:p>
    <w:p>
      <w:pPr>
        <w:ind w:left="640" w:right="160" w:hanging="319"/>
        <w:spacing w:after="0" w:line="256"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year ended December 31, 2025 was $268.4 million, or $3.53 per diluted share, compared to $232.5 million, or $3.08 per diluted share for the year ended December 31, 2024, an increase of 15%. PPNR increased by 16%, to $429.7 million for the year ended December 31, 2025, from $371.4 million for the year ended December 31, 2024.</w:t>
      </w:r>
    </w:p>
    <w:p>
      <w:pPr>
        <w:spacing w:after="0" w:line="113" w:lineRule="exact"/>
        <w:rPr>
          <w:rFonts w:ascii="Times New Roman" w:cs="Times New Roman" w:eastAsia="Times New Roman" w:hAnsi="Times New Roman"/>
          <w:sz w:val="18"/>
          <w:szCs w:val="18"/>
          <w:color w:val="auto"/>
        </w:rPr>
      </w:pPr>
    </w:p>
    <w:p>
      <w:pPr>
        <w:ind w:left="640" w:right="6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ROAA improved to 0.77% for the year ended December 31, 2025, from 0.66% for the year ended December 31, 2024; ROAE improved to 9.0% from 8.5%.</w:t>
      </w:r>
    </w:p>
    <w:p>
      <w:pPr>
        <w:spacing w:after="0" w:line="89" w:lineRule="exact"/>
        <w:rPr>
          <w:rFonts w:ascii="Times New Roman" w:cs="Times New Roman" w:eastAsia="Times New Roman" w:hAnsi="Times New Roman"/>
          <w:sz w:val="18"/>
          <w:szCs w:val="18"/>
          <w:color w:val="auto"/>
        </w:rPr>
      </w:pPr>
    </w:p>
    <w:p>
      <w:pPr>
        <w:ind w:left="640" w:right="60" w:hanging="319"/>
        <w:spacing w:after="0" w:line="249"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interest margin, calculated on a tax-equivalent basis, expanded by 0.22%, to 2.95% for the year ended December 31, 2025 from 2.73% for the year ended December 31, 2024. The increase in the net interest margin was primarily a result of balance sheet repositioning, particularly improved funding mix, and re-pricing of deposit costs in line with a lower interest rate environment. Net interest income grew by $73.3 million, or 8%, for the year ended December 31, 2025. The following chart provides a comparison of net interest margin, the average yield on interest earning assets, and the average rate on interest bearing liabilities for the years ended December 31, 2025 and 2024 (on a tax equivalent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89535</wp:posOffset>
            </wp:positionV>
            <wp:extent cx="5041265" cy="1677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41265" cy="167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40" w:right="220" w:hanging="319"/>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cost of total deposits declined by 0.61% to 2.40% for the year ended December 31, 2025, from 3.01% for the year ended December 31, 2024. The spot APY of total deposits declined to 2.10% at December 31, 2025 from 2.63% at December 31, 2024.</w:t>
      </w: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38" w:name="page39"/>
    <w:bookmarkEnd w:id="38"/>
    <w:p>
      <w:pPr>
        <w:ind w:left="319" w:hanging="319"/>
        <w:spacing w:after="0"/>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charts illustrate the composition of deposits at the dates indicated:</w:t>
      </w:r>
    </w:p>
    <w:p>
      <w:pPr>
        <w:spacing w:after="0" w:line="225" w:lineRule="exact"/>
        <w:rPr>
          <w:sz w:val="20"/>
          <w:szCs w:val="20"/>
          <w:color w:val="auto"/>
        </w:rPr>
      </w:pPr>
    </w:p>
    <w:p>
      <w:pPr>
        <w:ind w:left="1239"/>
        <w:spacing w:after="0"/>
        <w:tabs>
          <w:tab w:leader="none" w:pos="5419" w:val="left"/>
        </w:tabs>
        <w:rPr>
          <w:sz w:val="20"/>
          <w:szCs w:val="20"/>
          <w:color w:val="auto"/>
        </w:rPr>
      </w:pPr>
      <w:r>
        <w:rPr>
          <w:rFonts w:ascii="Times New Roman" w:cs="Times New Roman" w:eastAsia="Times New Roman" w:hAnsi="Times New Roman"/>
          <w:sz w:val="16"/>
          <w:szCs w:val="16"/>
          <w:b w:val="1"/>
          <w:bCs w:val="1"/>
          <w:color w:val="01ABE6"/>
        </w:rPr>
        <w:t>December 31, 2025</w:t>
      </w:r>
      <w:r>
        <w:rPr>
          <w:sz w:val="20"/>
          <w:szCs w:val="20"/>
          <w:color w:val="auto"/>
        </w:rPr>
        <w:tab/>
      </w:r>
      <w:r>
        <w:rPr>
          <w:rFonts w:ascii="Times New Roman" w:cs="Times New Roman" w:eastAsia="Times New Roman" w:hAnsi="Times New Roman"/>
          <w:sz w:val="16"/>
          <w:szCs w:val="16"/>
          <w:b w:val="1"/>
          <w:bCs w:val="1"/>
          <w:color w:val="01ABE6"/>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5233035" cy="1986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33035" cy="198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19" w:right="100" w:hanging="319"/>
        <w:spacing w:after="0" w:line="256" w:lineRule="auto"/>
        <w:tabs>
          <w:tab w:leader="none" w:pos="30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NIDDA grew by 20%, or $1.5 billion during the year ended December 31, 2025, and represented 31% of total deposits at December 31, 2025. Total deposits grew by $1.5 billion and non-brokered deposits grew by $1.8 billion. Average NIDDA increased by $844 million for the year ended December 31, 2025.</w:t>
      </w:r>
    </w:p>
    <w:p>
      <w:pPr>
        <w:spacing w:after="0" w:line="99" w:lineRule="exact"/>
        <w:rPr>
          <w:rFonts w:ascii="Times New Roman" w:cs="Times New Roman" w:eastAsia="Times New Roman" w:hAnsi="Times New Roman"/>
          <w:sz w:val="16"/>
          <w:szCs w:val="16"/>
          <w:color w:val="auto"/>
        </w:rPr>
      </w:pPr>
    </w:p>
    <w:p>
      <w:pPr>
        <w:ind w:left="319" w:hanging="319"/>
        <w:spacing w:after="0"/>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funding, including FHLB advances and brokered deposits, declined by $1.7 billion for the year ended December 31, 2025.</w:t>
      </w:r>
    </w:p>
    <w:p>
      <w:pPr>
        <w:spacing w:after="0" w:line="147" w:lineRule="exact"/>
        <w:rPr>
          <w:rFonts w:ascii="Times New Roman" w:cs="Times New Roman" w:eastAsia="Times New Roman" w:hAnsi="Times New Roman"/>
          <w:sz w:val="18"/>
          <w:szCs w:val="18"/>
          <w:color w:val="auto"/>
        </w:rPr>
      </w:pPr>
    </w:p>
    <w:p>
      <w:pPr>
        <w:ind w:left="319" w:right="60" w:hanging="319"/>
        <w:spacing w:after="0" w:line="256"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portfolio composition continued to shift from residential to core commercial categories during the year ended December 31, 2025. Residential, franchise, equipment and municipal finance portfolios declined by a combined $810 million while the core loans grew by $786 million for the year ended December 31, 2025, reflective of our balance sheet repositioning strategy.</w:t>
      </w:r>
    </w:p>
    <w:p>
      <w:pPr>
        <w:spacing w:after="0" w:line="113"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to deposit ratio declined to 82.7% at December 31, 2025, from 87.2% at December 31, 2024.</w:t>
      </w:r>
    </w:p>
    <w:p>
      <w:pPr>
        <w:spacing w:after="0" w:line="134" w:lineRule="exact"/>
        <w:rPr>
          <w:rFonts w:ascii="Times New Roman" w:cs="Times New Roman" w:eastAsia="Times New Roman" w:hAnsi="Times New Roman"/>
          <w:sz w:val="18"/>
          <w:szCs w:val="18"/>
          <w:color w:val="auto"/>
        </w:rPr>
      </w:pPr>
    </w:p>
    <w:p>
      <w:pPr>
        <w:jc w:val="both"/>
        <w:ind w:left="319" w:hanging="319"/>
        <w:spacing w:after="0" w:line="256" w:lineRule="auto"/>
        <w:tabs>
          <w:tab w:leader="none" w:pos="309" w:val="left"/>
        </w:tabs>
        <w:numPr>
          <w:ilvl w:val="0"/>
          <w:numId w:val="1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Total criticized and classified loans declined by $185 million while non-performing loans increased by $122 million for the year ended December 31, 2025. The net charge-off ratio for the year ended December 31, 2025, was 0.30%. The NPA ratio at December 31, 2025 was 1.08%, including 0.11% related to the guaranteed portion of non-performing SBA loans.</w:t>
      </w:r>
    </w:p>
    <w:p>
      <w:pPr>
        <w:spacing w:after="0" w:line="113" w:lineRule="exact"/>
        <w:rPr>
          <w:rFonts w:ascii="Times New Roman" w:cs="Times New Roman" w:eastAsia="Times New Roman" w:hAnsi="Times New Roman"/>
          <w:sz w:val="16"/>
          <w:szCs w:val="16"/>
          <w:b w:val="1"/>
          <w:bCs w:val="1"/>
          <w:i w:val="1"/>
          <w:iCs w:val="1"/>
          <w:color w:val="auto"/>
        </w:rPr>
      </w:pPr>
    </w:p>
    <w:p>
      <w:pPr>
        <w:ind w:left="319" w:right="20" w:hanging="319"/>
        <w:spacing w:after="0" w:line="252" w:lineRule="auto"/>
        <w:tabs>
          <w:tab w:leader="none" w:pos="309" w:val="left"/>
        </w:tabs>
        <w:numPr>
          <w:ilvl w:val="0"/>
          <w:numId w:val="1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The ratio of the ACL to total loans declined to 0.91% at December 31, 2025, from 0.92% at December 31, 2024. The ratio of the ACL to non-performing loans was 58.99%. The ACL to loans ratio for commercial portfolio sub-segments including C&amp;I, CRE, franchise finance and equipment finance was 1.30% at December 31, 2025 and the ACL to loans ratio for CRE office loans was 2.03%. The provision for credit losses was $67.9 million for the year ended December 31, 2025, compared to $55.1 million for the year ended December 31, 2024.</w:t>
      </w:r>
    </w:p>
    <w:p>
      <w:pPr>
        <w:spacing w:after="0" w:line="200" w:lineRule="exact"/>
        <w:rPr>
          <w:sz w:val="20"/>
          <w:szCs w:val="20"/>
          <w:color w:val="auto"/>
        </w:rPr>
      </w:pPr>
    </w:p>
    <w:p>
      <w:pPr>
        <w:spacing w:after="0" w:line="311"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159385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79"/>
          </w:cols>
          <w:pgMar w:left="641" w:top="1146" w:right="479" w:bottom="1440" w:gutter="0" w:footer="0" w:header="0"/>
        </w:sectPr>
      </w:pPr>
    </w:p>
    <w:bookmarkStart w:id="39" w:name="page40"/>
    <w:bookmarkEnd w:id="39"/>
    <w:p>
      <w:pPr>
        <w:ind w:left="640" w:hanging="319"/>
        <w:spacing w:after="0" w:line="256"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CET1 was 12.3% up 0.30% from December 31, 2024. AOCI improved by $94.9 million from December 31, 2024. The ratio of tangible common equity to tangible assets increased to 8.5%. The charts below represent the Company's and the Bank's regulatory capital ratios at the dates indicated: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BankUnited, Inc.</w:t>
      </w:r>
    </w:p>
    <w:p>
      <w:pPr>
        <w:spacing w:after="0" w:line="229" w:lineRule="exact"/>
        <w:rPr>
          <w:sz w:val="20"/>
          <w:szCs w:val="20"/>
          <w:color w:val="auto"/>
        </w:rPr>
      </w:pPr>
    </w:p>
    <w:p>
      <w:pPr>
        <w:ind w:left="1400"/>
        <w:spacing w:after="0"/>
        <w:tabs>
          <w:tab w:leader="none" w:pos="5860" w:val="left"/>
        </w:tabs>
        <w:rPr>
          <w:sz w:val="20"/>
          <w:szCs w:val="20"/>
          <w:color w:val="auto"/>
        </w:rPr>
      </w:pPr>
      <w:r>
        <w:rPr>
          <w:rFonts w:ascii="Times New Roman" w:cs="Times New Roman" w:eastAsia="Times New Roman" w:hAnsi="Times New Roman"/>
          <w:sz w:val="18"/>
          <w:szCs w:val="18"/>
          <w:b w:val="1"/>
          <w:bCs w:val="1"/>
          <w:color w:val="01ABE6"/>
        </w:rPr>
        <w:t>December 31, 2025</w:t>
      </w:r>
      <w:r>
        <w:rPr>
          <w:sz w:val="20"/>
          <w:szCs w:val="20"/>
          <w:color w:val="auto"/>
        </w:rPr>
        <w:tab/>
      </w:r>
      <w:r>
        <w:rPr>
          <w:rFonts w:ascii="Times New Roman" w:cs="Times New Roman" w:eastAsia="Times New Roman" w:hAnsi="Times New Roman"/>
          <w:sz w:val="16"/>
          <w:szCs w:val="16"/>
          <w:b w:val="1"/>
          <w:bCs w:val="1"/>
          <w:color w:val="01ABE6"/>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5633720" cy="23869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33720" cy="238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BankUnited, N.A.</w:t>
      </w:r>
    </w:p>
    <w:p>
      <w:pPr>
        <w:spacing w:after="0" w:line="229" w:lineRule="exact"/>
        <w:rPr>
          <w:sz w:val="20"/>
          <w:szCs w:val="20"/>
          <w:color w:val="auto"/>
        </w:rPr>
      </w:pPr>
    </w:p>
    <w:p>
      <w:pPr>
        <w:ind w:left="1400"/>
        <w:spacing w:after="0"/>
        <w:tabs>
          <w:tab w:leader="none" w:pos="5860" w:val="left"/>
        </w:tabs>
        <w:rPr>
          <w:sz w:val="20"/>
          <w:szCs w:val="20"/>
          <w:color w:val="auto"/>
        </w:rPr>
      </w:pPr>
      <w:r>
        <w:rPr>
          <w:rFonts w:ascii="Times New Roman" w:cs="Times New Roman" w:eastAsia="Times New Roman" w:hAnsi="Times New Roman"/>
          <w:sz w:val="18"/>
          <w:szCs w:val="18"/>
          <w:b w:val="1"/>
          <w:bCs w:val="1"/>
          <w:color w:val="01ABE6"/>
        </w:rPr>
        <w:t>December 31, 2025</w:t>
      </w:r>
      <w:r>
        <w:rPr>
          <w:sz w:val="20"/>
          <w:szCs w:val="20"/>
          <w:color w:val="auto"/>
        </w:rPr>
        <w:tab/>
      </w:r>
      <w:r>
        <w:rPr>
          <w:rFonts w:ascii="Times New Roman" w:cs="Times New Roman" w:eastAsia="Times New Roman" w:hAnsi="Times New Roman"/>
          <w:sz w:val="16"/>
          <w:szCs w:val="16"/>
          <w:b w:val="1"/>
          <w:bCs w:val="1"/>
          <w:color w:val="01ABE6"/>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5633720" cy="23869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33720" cy="238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right="200" w:hanging="319"/>
        <w:spacing w:after="0" w:line="331" w:lineRule="auto"/>
        <w:tabs>
          <w:tab w:leader="none" w:pos="629" w:val="left"/>
        </w:tabs>
        <w:numPr>
          <w:ilvl w:val="0"/>
          <w:numId w:val="1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6"/>
          <w:szCs w:val="16"/>
          <w:color w:val="auto"/>
        </w:rPr>
        <w:t>Book value and tangible book value per common share continued to accrete, to $41.19 and $40.14, respectively, at December 31, 2025, compared to $37.65 and $36.61, respectively, at December 31, 2024. This represents a 10% year-over-year increase in tangible book value per share.</w:t>
      </w:r>
    </w:p>
    <w:p>
      <w:pPr>
        <w:spacing w:after="0" w:line="44" w:lineRule="exact"/>
        <w:rPr>
          <w:rFonts w:ascii="Times New Roman" w:cs="Times New Roman" w:eastAsia="Times New Roman" w:hAnsi="Times New Roman"/>
          <w:sz w:val="15"/>
          <w:szCs w:val="15"/>
          <w:b w:val="1"/>
          <w:bCs w:val="1"/>
          <w:i w:val="1"/>
          <w:iCs w:val="1"/>
          <w:color w:val="auto"/>
        </w:rPr>
      </w:pPr>
    </w:p>
    <w:p>
      <w:pPr>
        <w:ind w:left="640" w:right="20" w:hanging="319"/>
        <w:spacing w:after="0" w:line="256"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Company repurchased approximately 1.1 million shares of its common stock for an aggregate purchase price of $44.8 million. In January 2026, the Company's Board of Directors authorized the repurchase of up to an additional $200 million in shares of its outstanding common stock.</w:t>
      </w:r>
    </w:p>
    <w:p>
      <w:pPr>
        <w:spacing w:after="0" w:line="113" w:lineRule="exact"/>
        <w:rPr>
          <w:rFonts w:ascii="Times New Roman" w:cs="Times New Roman" w:eastAsia="Times New Roman" w:hAnsi="Times New Roman"/>
          <w:sz w:val="18"/>
          <w:szCs w:val="18"/>
          <w:color w:val="auto"/>
        </w:rPr>
      </w:pPr>
    </w:p>
    <w:p>
      <w:pPr>
        <w:ind w:left="640" w:right="260" w:hanging="319"/>
        <w:spacing w:after="0" w:line="252"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the Company increased its quarterly dividends by $0.02, to $0.31 per share, reflecting a 7% increase from the previous quarterly cash dividend of $0.29 per share and maintained that quarterly level through 2025. In January 2026, the Company's Board of Directors announced an increase of $0.02 in the Company's common stock dividend for future quarterly dividends to $0.33 per common share, an increase of 6%.</w:t>
      </w:r>
    </w:p>
    <w:p>
      <w:pPr>
        <w:sectPr>
          <w:pgSz w:w="11900" w:h="16838" w:orient="portrait"/>
          <w:cols w:equalWidth="0" w:num="1">
            <w:col w:w="11220"/>
          </w:cols>
          <w:pgMar w:left="320" w:top="1146" w:right="3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173990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type w:val="continuous"/>
        </w:sectPr>
      </w:pPr>
    </w:p>
    <w:bookmarkStart w:id="40" w:name="page41"/>
    <w:bookmarkEnd w:id="40"/>
    <w:p>
      <w:pPr>
        <w:ind w:left="640" w:hanging="319"/>
        <w:spacing w:after="0"/>
        <w:tabs>
          <w:tab w:leader="none" w:pos="6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August 2025, the Company redeemed all of its outstanding senior notes due November 2025 at par value plus accrued interest.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7" w:lineRule="exact"/>
        <w:rPr>
          <w:sz w:val="20"/>
          <w:szCs w:val="20"/>
          <w:color w:val="auto"/>
        </w:rPr>
      </w:pPr>
    </w:p>
    <w:p>
      <w:pPr>
        <w:ind w:right="100" w:firstLine="315"/>
        <w:spacing w:after="0" w:line="247"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and follow general practices within the banking industry. Application of these principles requires management to make complex and subjective estimates and judgments that affect the amounts reported in the consolidated financial statements and accompanying notes. We base our estimates on historical experience and on various other assumptions that we believe to be reasonable and appropriate under current circumstances. These assumptions form the basis for our judgments about the carrying values of assets and liabilities that are not readily available from independent, objective sources. We evaluate our estimates on an ongoing basis. Use of alternative assumptions may have resulted in significantly different estimates. Actual results may differ from these estimates. The most significant estimate impacting the Company's financial statements is the ACL.</w:t>
      </w:r>
    </w:p>
    <w:p>
      <w:pPr>
        <w:spacing w:after="0" w:line="126" w:lineRule="exact"/>
        <w:rPr>
          <w:sz w:val="20"/>
          <w:szCs w:val="20"/>
          <w:color w:val="auto"/>
        </w:rPr>
      </w:pPr>
    </w:p>
    <w:p>
      <w:pPr>
        <w:ind w:right="60" w:firstLine="315"/>
        <w:spacing w:after="0" w:line="256" w:lineRule="auto"/>
        <w:rPr>
          <w:sz w:val="20"/>
          <w:szCs w:val="20"/>
          <w:color w:val="auto"/>
        </w:rPr>
      </w:pPr>
      <w:r>
        <w:rPr>
          <w:rFonts w:ascii="Times New Roman" w:cs="Times New Roman" w:eastAsia="Times New Roman" w:hAnsi="Times New Roman"/>
          <w:sz w:val="18"/>
          <w:szCs w:val="18"/>
          <w:color w:val="auto"/>
        </w:rPr>
        <w:t>Accounting policies are an integral part of our financial statements. A thorough understanding of these accounting policies is essential when reviewing our reported results of operations and our financial position. We believe that the critical accounting policies and estimates discussed below involve a heightened level of management judgment due to the complexity, subjectivity and sensitivity involved in their application.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Note 1 to the consolidated financial statements contains a further discussion of our significant accounting policies.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ACL</w:t>
      </w:r>
    </w:p>
    <w:p>
      <w:pPr>
        <w:spacing w:after="0" w:line="139" w:lineRule="exact"/>
        <w:rPr>
          <w:sz w:val="20"/>
          <w:szCs w:val="20"/>
          <w:color w:val="auto"/>
        </w:rPr>
      </w:pPr>
    </w:p>
    <w:p>
      <w:pPr>
        <w:ind w:right="260" w:firstLine="315"/>
        <w:spacing w:after="0" w:line="303" w:lineRule="auto"/>
        <w:rPr>
          <w:sz w:val="20"/>
          <w:szCs w:val="20"/>
          <w:color w:val="auto"/>
        </w:rPr>
      </w:pPr>
      <w:r>
        <w:rPr>
          <w:rFonts w:ascii="Times New Roman" w:cs="Times New Roman" w:eastAsia="Times New Roman" w:hAnsi="Times New Roman"/>
          <w:sz w:val="16"/>
          <w:szCs w:val="16"/>
          <w:color w:val="auto"/>
        </w:rPr>
        <w:t>The ACL represents management's estimate of current expected credit losses, or the amount of amortized cost basis not expected to be collected, on our loan portfolio. Determining the amount of the ACL is considered a critical accounting estimate because of its complexity and because it requires extensive judgment and estimation. Estimates that are particularly susceptible to change that may have a material impact on the amount of the ACL include:</w:t>
      </w:r>
    </w:p>
    <w:p>
      <w:pPr>
        <w:spacing w:after="0" w:line="79" w:lineRule="exact"/>
        <w:rPr>
          <w:sz w:val="20"/>
          <w:szCs w:val="20"/>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current conditions;</w:t>
      </w:r>
    </w:p>
    <w:p>
      <w:pPr>
        <w:spacing w:after="0" w:line="147" w:lineRule="exact"/>
        <w:rPr>
          <w:rFonts w:ascii="Times New Roman" w:cs="Times New Roman" w:eastAsia="Times New Roman" w:hAnsi="Times New Roman"/>
          <w:sz w:val="18"/>
          <w:szCs w:val="18"/>
          <w:color w:val="auto"/>
        </w:rPr>
      </w:pPr>
    </w:p>
    <w:p>
      <w:pPr>
        <w:ind w:left="640" w:right="56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determination of a reasonable and supportable economic forecast or weighting of various forecast paths and selection of the reasonable and supportable forecast period;</w:t>
      </w:r>
    </w:p>
    <w:p>
      <w:pPr>
        <w:spacing w:after="0" w:line="89" w:lineRule="exact"/>
        <w:rPr>
          <w:rFonts w:ascii="Times New Roman" w:cs="Times New Roman" w:eastAsia="Times New Roman" w:hAnsi="Times New Roman"/>
          <w:sz w:val="18"/>
          <w:szCs w:val="18"/>
          <w:color w:val="auto"/>
        </w:rPr>
      </w:pPr>
    </w:p>
    <w:p>
      <w:pPr>
        <w:ind w:left="640" w:right="60" w:hanging="319"/>
        <w:spacing w:after="0" w:line="268"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historical loss experience and selection of historical loss data used in formulating our ACL estimate; since we have limited company specific historical loss data, our modeling techniques also leverage broad external data sets for this purpose;</w:t>
      </w:r>
    </w:p>
    <w:p>
      <w:pPr>
        <w:spacing w:after="0" w:line="10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changes in composition and characteristics of the loan portfolio, including internal risk ratings;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expected prepayments;</w:t>
      </w:r>
    </w:p>
    <w:p>
      <w:pPr>
        <w:spacing w:after="0" w:line="134"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underlying collateral, which may impact loss severity and certain cash flow assumptions for collateral-dependent, criticized and classified loans; in the current environment, especially with respect to certain commercial real estate sectors like office, current and projected collateral values may be particularly challenging to estimate; and</w:t>
      </w:r>
    </w:p>
    <w:p>
      <w:pPr>
        <w:spacing w:after="0" w:line="11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and evaluation of qualitative factors.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selection of models and modeling techniques may also have a material impact on the estimate.</w:t>
      </w:r>
    </w:p>
    <w:p>
      <w:pPr>
        <w:spacing w:after="0" w:line="96" w:lineRule="exact"/>
        <w:rPr>
          <w:sz w:val="20"/>
          <w:szCs w:val="20"/>
          <w:color w:val="auto"/>
        </w:rPr>
      </w:pPr>
    </w:p>
    <w:p>
      <w:pPr>
        <w:ind w:right="140" w:firstLine="631"/>
        <w:spacing w:after="0" w:line="221" w:lineRule="exact"/>
        <w:rPr>
          <w:sz w:val="20"/>
          <w:szCs w:val="20"/>
          <w:color w:val="auto"/>
        </w:rPr>
      </w:pPr>
      <w:r>
        <w:rPr>
          <w:rFonts w:ascii="Times New Roman" w:cs="Times New Roman" w:eastAsia="Times New Roman" w:hAnsi="Times New Roman"/>
          <w:sz w:val="18"/>
          <w:szCs w:val="18"/>
          <w:color w:val="auto"/>
        </w:rPr>
        <w:t>The ACL estimates incorporate a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blend of macroeconomic scenarios, with weights determined by an evaluation of each scenario’s key assumptions and narrative, the projected paths of principal economic variables, such as real GDP growth and the unemployment rate, and other relevant market indicators and consensus forecasts. Scenarios include (i) a baseline forecast; (ii) an upside scenario reflecting above-baseline levels of output and lower unemployment rate; and (iii) a downside scenario reflecting softer business investment, depressed consumer sentiment, and generally weaker economic activity.</w:t>
      </w:r>
    </w:p>
    <w:p>
      <w:pPr>
        <w:spacing w:after="0" w:line="131" w:lineRule="exact"/>
        <w:rPr>
          <w:sz w:val="20"/>
          <w:szCs w:val="20"/>
          <w:color w:val="auto"/>
        </w:rPr>
      </w:pPr>
    </w:p>
    <w:p>
      <w:pPr>
        <w:ind w:firstLine="315"/>
        <w:spacing w:after="0" w:line="303" w:lineRule="auto"/>
        <w:rPr>
          <w:sz w:val="20"/>
          <w:szCs w:val="20"/>
          <w:color w:val="auto"/>
        </w:rPr>
      </w:pPr>
      <w:r>
        <w:rPr>
          <w:rFonts w:ascii="Times New Roman" w:cs="Times New Roman" w:eastAsia="Times New Roman" w:hAnsi="Times New Roman"/>
          <w:sz w:val="16"/>
          <w:szCs w:val="16"/>
          <w:color w:val="auto"/>
        </w:rPr>
        <w:t>To illustrate directional sensitivity to the choice of scenario, excluding the impact of qualitative factors, the impact of using only the upside scenario would result in an estimated $21 million decrease in the ACL, while using only the downside scenario would result in an estimated increase of $111 million in the ACL. The sensitivity analysis result does not represent management’s view of expected credit losses nor is it intended to estimate future changes in ACL levels.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Note 1 to the consolidated financial statements describes the methodology used to determine the ACL.</w:t>
      </w: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2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 to the consolidated financial statements for a discussion of recent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152" w:lineRule="exact"/>
        <w:rPr>
          <w:sz w:val="20"/>
          <w:szCs w:val="20"/>
          <w:color w:val="auto"/>
        </w:rPr>
      </w:pPr>
    </w:p>
    <w:p>
      <w:pPr>
        <w:ind w:firstLine="315"/>
        <w:spacing w:after="0" w:line="252"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interest earning assets and interest incurred on interest bearing liabilities and is the primary driver of core earnings. Net interest income is impacted by the mix of interest earning assets and interest bearing liabilities, the ratio of interest earning assets to total assets and of interest bearing liabilities to total funding sources, movements in market interest rates and monetary policy, the shape of the yield curve, levels of non-performing assets and pricing pressure from competitors.</w:t>
      </w:r>
    </w:p>
    <w:p>
      <w:pPr>
        <w:spacing w:after="0" w:line="116" w:lineRule="exact"/>
        <w:rPr>
          <w:sz w:val="20"/>
          <w:szCs w:val="20"/>
          <w:color w:val="auto"/>
        </w:rPr>
      </w:pPr>
    </w:p>
    <w:p>
      <w:pPr>
        <w:ind w:right="20" w:firstLine="315"/>
        <w:spacing w:after="0" w:line="249" w:lineRule="auto"/>
        <w:rPr>
          <w:sz w:val="20"/>
          <w:szCs w:val="20"/>
          <w:color w:val="auto"/>
        </w:rPr>
      </w:pPr>
      <w:r>
        <w:rPr>
          <w:rFonts w:ascii="Times New Roman" w:cs="Times New Roman" w:eastAsia="Times New Roman" w:hAnsi="Times New Roman"/>
          <w:sz w:val="18"/>
          <w:szCs w:val="18"/>
          <w:color w:val="auto"/>
        </w:rPr>
        <w:t>The mix of interest earning assets is influenced by loan demand, market and competitive conditions in our primary lending markets, by management's continual assessment of the rate of return and relative risk associated with various classes of earning assets and liquidity considerations. The mix of funding sources is influenced by the Company's liquidity profile, management's assessment of the desire for lower-cost funding sources weighed against relationships with customers, our ability to attract and retain core deposit relationships, competition for deposits in the Company's markets and the availability and pricing of other sources of funds.</w:t>
      </w: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23" w:right="379" w:bottom="1440" w:gutter="0" w:footer="0" w:header="0"/>
        </w:sectPr>
      </w:pPr>
    </w:p>
    <w:bookmarkStart w:id="42" w:name="page43"/>
    <w:bookmarkEnd w:id="42"/>
    <w:p>
      <w:pPr>
        <w:ind w:right="20" w:firstLine="315"/>
        <w:spacing w:after="0" w:line="248" w:lineRule="auto"/>
        <w:rPr>
          <w:sz w:val="20"/>
          <w:szCs w:val="20"/>
          <w:color w:val="auto"/>
        </w:rPr>
      </w:pPr>
      <w:r>
        <w:rPr>
          <w:rFonts w:ascii="Times New Roman" w:cs="Times New Roman" w:eastAsia="Times New Roman" w:hAnsi="Times New Roman"/>
          <w:sz w:val="18"/>
          <w:szCs w:val="18"/>
          <w:color w:val="auto"/>
        </w:rPr>
        <w:t>The following table presents, for the periods indicated, information about (i) average balances, the total dollar amount of taxable equivalent interest income from earning assets and the resultant average yields; (ii) average balances, the total dollar amount of interest expense on interest bearing liabilities and the resultant average rates; (iii) net interest income; (iv) the interest rate spread; and (v) the net interest margin. Non-accrual loans are included in the average balances presented in this table; however, interest income foregone on non-accrual loans is not included. Interest income, yields, spread and margin have been calculated on a tax-equivalent basis for loans and investment securities that are exempt from federal income taxes, at a federal tax rate of 21%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8"/>
                <w:szCs w:val="18"/>
                <w:b w:val="1"/>
                <w:bCs w:val="1"/>
                <w:color w:val="auto"/>
                <w:vertAlign w:val="superscript"/>
              </w:rPr>
              <w:t>(1)</w:t>
            </w:r>
          </w:p>
        </w:tc>
        <w:tc>
          <w:tcPr>
            <w:tcW w:w="800" w:type="dxa"/>
            <w:vAlign w:val="bottom"/>
          </w:tcPr>
          <w:p>
            <w:pPr>
              <w:jc w:val="right"/>
              <w:ind w:right="150"/>
              <w:spacing w:after="0" w:line="131" w:lineRule="exact"/>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1"/>
                <w:szCs w:val="11"/>
                <w:color w:val="auto"/>
              </w:rPr>
            </w:pP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8"/>
                <w:szCs w:val="18"/>
                <w:b w:val="1"/>
                <w:bCs w:val="1"/>
                <w:color w:val="auto"/>
                <w:vertAlign w:val="superscript"/>
              </w:rPr>
              <w:t>(1)</w:t>
            </w:r>
          </w:p>
        </w:tc>
        <w:tc>
          <w:tcPr>
            <w:tcW w:w="660" w:type="dxa"/>
            <w:vAlign w:val="bottom"/>
          </w:tcPr>
          <w:p>
            <w:pPr>
              <w:jc w:val="center"/>
              <w:ind w:right="70"/>
              <w:spacing w:after="0" w:line="131" w:lineRule="exact"/>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8"/>
                <w:szCs w:val="18"/>
                <w:b w:val="1"/>
                <w:bCs w:val="1"/>
                <w:color w:val="auto"/>
                <w:vertAlign w:val="superscript"/>
              </w:rPr>
              <w:t>(1)</w:t>
            </w: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0" w:type="dxa"/>
            <w:vAlign w:val="bottom"/>
          </w:tcPr>
          <w:p>
            <w:pPr>
              <w:jc w:val="right"/>
              <w:ind w:right="110"/>
              <w:spacing w:after="0" w:line="197"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660" w:type="dxa"/>
            <w:vAlign w:val="bottom"/>
          </w:tcPr>
          <w:p>
            <w:pPr>
              <w:jc w:val="center"/>
              <w:ind w:right="90"/>
              <w:spacing w:after="0" w:line="197" w:lineRule="exact"/>
              <w:rPr>
                <w:sz w:val="20"/>
                <w:szCs w:val="20"/>
                <w:color w:val="auto"/>
              </w:rPr>
            </w:pPr>
            <w:r>
              <w:rPr>
                <w:rFonts w:ascii="Times New Roman" w:cs="Times New Roman" w:eastAsia="Times New Roman" w:hAnsi="Times New Roman"/>
                <w:sz w:val="14"/>
                <w:szCs w:val="14"/>
                <w:b w:val="1"/>
                <w:bCs w:val="1"/>
                <w:color w:val="auto"/>
                <w:w w:val="92"/>
              </w:rPr>
              <w:t xml:space="preserve">Rate </w:t>
            </w:r>
            <w:r>
              <w:rPr>
                <w:rFonts w:ascii="Times New Roman" w:cs="Times New Roman" w:eastAsia="Times New Roman" w:hAnsi="Times New Roman"/>
                <w:sz w:val="18"/>
                <w:szCs w:val="18"/>
                <w:b w:val="1"/>
                <w:bCs w:val="1"/>
                <w:color w:val="auto"/>
                <w:w w:val="92"/>
                <w:vertAlign w:val="superscript"/>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0" w:type="dxa"/>
            <w:vAlign w:val="bottom"/>
          </w:tcPr>
          <w:p>
            <w:pPr>
              <w:jc w:val="center"/>
              <w:spacing w:after="0" w:line="197" w:lineRule="exact"/>
              <w:rPr>
                <w:sz w:val="20"/>
                <w:szCs w:val="20"/>
                <w:color w:val="auto"/>
              </w:rPr>
            </w:pPr>
            <w:r>
              <w:rPr>
                <w:rFonts w:ascii="Times New Roman" w:cs="Times New Roman" w:eastAsia="Times New Roman" w:hAnsi="Times New Roman"/>
                <w:sz w:val="14"/>
                <w:szCs w:val="14"/>
                <w:b w:val="1"/>
                <w:bCs w:val="1"/>
                <w:color w:val="auto"/>
                <w:w w:val="92"/>
              </w:rPr>
              <w:t xml:space="preserve">Rate </w:t>
            </w:r>
            <w:r>
              <w:rPr>
                <w:rFonts w:ascii="Times New Roman" w:cs="Times New Roman" w:eastAsia="Times New Roman" w:hAnsi="Times New Roman"/>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190"/>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23,765,232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1,302,438</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24,269,787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1,402,132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5.78%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24,558,430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1,331,578</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5.42%</w:t>
            </w:r>
          </w:p>
        </w:tc>
        <w:tc>
          <w:tcPr>
            <w:tcW w:w="0" w:type="dxa"/>
            <w:vAlign w:val="bottom"/>
          </w:tcPr>
          <w:p>
            <w:pPr>
              <w:spacing w:after="0"/>
              <w:rPr>
                <w:sz w:val="1"/>
                <w:szCs w:val="1"/>
                <w:color w:val="auto"/>
              </w:rPr>
            </w:pPr>
          </w:p>
        </w:tc>
      </w:tr>
      <w:tr>
        <w:trPr>
          <w:trHeight w:val="197"/>
        </w:trPr>
        <w:tc>
          <w:tcPr>
            <w:tcW w:w="1980" w:type="dxa"/>
            <w:vAlign w:val="bottom"/>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Investment securities </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9,362,652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472,331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9,064,521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9"/>
              </w:rPr>
              <w:t>5.53%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9,228,718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491,851</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5.33%</w:t>
            </w:r>
          </w:p>
        </w:tc>
        <w:tc>
          <w:tcPr>
            <w:tcW w:w="0" w:type="dxa"/>
            <w:vAlign w:val="bottom"/>
          </w:tcPr>
          <w:p>
            <w:pPr>
              <w:spacing w:after="0"/>
              <w:rPr>
                <w:sz w:val="1"/>
                <w:szCs w:val="1"/>
                <w:color w:val="auto"/>
              </w:rPr>
            </w:pPr>
          </w:p>
        </w:tc>
      </w:tr>
      <w:tr>
        <w:trPr>
          <w:trHeight w:val="197"/>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783,417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31,878</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745,885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5.03%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986,186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51,152</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5.19%</w:t>
            </w:r>
          </w:p>
        </w:tc>
        <w:tc>
          <w:tcPr>
            <w:tcW w:w="0" w:type="dxa"/>
            <w:vAlign w:val="bottom"/>
          </w:tcPr>
          <w:p>
            <w:pPr>
              <w:spacing w:after="0"/>
              <w:rPr>
                <w:sz w:val="1"/>
                <w:szCs w:val="1"/>
                <w:color w:val="auto"/>
              </w:rPr>
            </w:pPr>
          </w:p>
        </w:tc>
      </w:tr>
      <w:tr>
        <w:trPr>
          <w:trHeight w:val="183"/>
        </w:trPr>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interest earning assets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33,911,301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1,806,647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34,080,193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1,940,691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9"/>
              </w:rPr>
              <w:t>5.69%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34,773,334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1,874,581</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5.39%</w:t>
            </w:r>
          </w:p>
        </w:tc>
        <w:tc>
          <w:tcPr>
            <w:tcW w:w="0" w:type="dxa"/>
            <w:vAlign w:val="bottom"/>
          </w:tcPr>
          <w:p>
            <w:pPr>
              <w:spacing w:after="0"/>
              <w:rPr>
                <w:sz w:val="1"/>
                <w:szCs w:val="1"/>
                <w:color w:val="auto"/>
              </w:rPr>
            </w:pPr>
          </w:p>
        </w:tc>
      </w:tr>
      <w:tr>
        <w:trPr>
          <w:trHeight w:val="20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earning assets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1,380,186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1,502,205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1,749,981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35,065,125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35,357,725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36,351,697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Liabilities and Stockholders'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bearing liabilities: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bearing demand deposits</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5,473,316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180,918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4,077,852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2,905,968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86,759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2.99 %</w:t>
            </w:r>
          </w:p>
        </w:tc>
        <w:tc>
          <w:tcPr>
            <w:tcW w:w="0" w:type="dxa"/>
            <w:vAlign w:val="bottom"/>
          </w:tcPr>
          <w:p>
            <w:pPr>
              <w:spacing w:after="0"/>
              <w:rPr>
                <w:sz w:val="1"/>
                <w:szCs w:val="1"/>
                <w:color w:val="auto"/>
              </w:rPr>
            </w:pPr>
          </w:p>
        </w:tc>
      </w:tr>
      <w:tr>
        <w:trPr>
          <w:trHeight w:val="142"/>
        </w:trPr>
        <w:tc>
          <w:tcPr>
            <w:tcW w:w="19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Savings and money market</w:t>
            </w: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10,305,664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341,042</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11,043,510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451,352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10,704,470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382,432</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3,804,507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142,375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4,757,675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211,411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4.44 %</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5,169,458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191,114</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0" w:type="dxa"/>
            <w:vAlign w:val="bottom"/>
          </w:tcPr>
          <w:p>
            <w:pPr>
              <w:spacing w:after="0"/>
              <w:rPr>
                <w:sz w:val="1"/>
                <w:szCs w:val="1"/>
                <w:color w:val="auto"/>
              </w:rPr>
            </w:pPr>
          </w:p>
        </w:tc>
      </w:tr>
      <w:tr>
        <w:trPr>
          <w:trHeight w:val="197"/>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interest bearing deposits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19,583,487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664,335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19,879,037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815,572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18,779,896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660,305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3.52 %</w:t>
            </w:r>
          </w:p>
        </w:tc>
        <w:tc>
          <w:tcPr>
            <w:tcW w:w="0" w:type="dxa"/>
            <w:vAlign w:val="bottom"/>
          </w:tcPr>
          <w:p>
            <w:pPr>
              <w:spacing w:after="0"/>
              <w:rPr>
                <w:sz w:val="1"/>
                <w:szCs w:val="1"/>
                <w:color w:val="auto"/>
              </w:rPr>
            </w:pPr>
          </w:p>
        </w:tc>
      </w:tr>
      <w:tr>
        <w:trPr>
          <w:trHeight w:val="190"/>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4.55 %</w:t>
            </w:r>
          </w:p>
        </w:tc>
        <w:tc>
          <w:tcPr>
            <w:tcW w:w="0" w:type="dxa"/>
            <w:vAlign w:val="bottom"/>
          </w:tcPr>
          <w:p>
            <w:pPr>
              <w:spacing w:after="0"/>
              <w:rPr>
                <w:sz w:val="1"/>
                <w:szCs w:val="1"/>
                <w:color w:val="auto"/>
              </w:rPr>
            </w:pPr>
          </w:p>
        </w:tc>
      </w:tr>
      <w:tr>
        <w:trPr>
          <w:trHeight w:val="20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 advances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2,909,589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111,126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3,823,579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6,331,685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285,026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Notes and other borrowings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571,046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29,752</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709,422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36,528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5.15 %</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716,633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36,835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0" w:type="dxa"/>
            <w:vAlign w:val="bottom"/>
          </w:tcPr>
          <w:p>
            <w:pPr>
              <w:spacing w:after="0"/>
              <w:rPr>
                <w:sz w:val="1"/>
                <w:szCs w:val="1"/>
                <w:color w:val="auto"/>
              </w:rPr>
            </w:pPr>
          </w:p>
        </w:tc>
      </w:tr>
      <w:tr>
        <w:trPr>
          <w:trHeight w:val="197"/>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interest bearing liabilities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23,064,122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805,213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24,412,038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25,863,617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983,777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3.80 %</w:t>
            </w: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Non-interest bearing demand</w:t>
            </w: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8,083,605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7,239,161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7,091,029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9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Other non-interest bearing</w:t>
            </w: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931,540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968,163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848,023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32,079,267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32,619,362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33,802,669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2,985,858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2,738,363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2,549,028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980" w:type="dxa"/>
            <w:vAlign w:val="bottom"/>
          </w:tcPr>
          <w:p>
            <w:pPr>
              <w:ind w:left="140"/>
              <w:spacing w:after="0" w:line="115" w:lineRule="exact"/>
              <w:rPr>
                <w:sz w:val="20"/>
                <w:szCs w:val="20"/>
                <w:color w:val="auto"/>
              </w:rPr>
            </w:pPr>
            <w:r>
              <w:rPr>
                <w:rFonts w:ascii="Times New Roman" w:cs="Times New Roman" w:eastAsia="Times New Roman" w:hAnsi="Times New Roman"/>
                <w:sz w:val="13"/>
                <w:szCs w:val="13"/>
                <w:color w:val="auto"/>
              </w:rPr>
              <w:t>Total liabilities and</w:t>
            </w: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35,065,125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35,357,725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36,351,697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1,001,434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929,841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890,804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Interest rate spread</w:t>
            </w: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0" w:type="dxa"/>
            <w:vAlign w:val="bottom"/>
          </w:tcPr>
          <w:p>
            <w:pPr>
              <w:spacing w:after="0" w:line="20" w:lineRule="exact"/>
              <w:rPr>
                <w:sz w:val="1"/>
                <w:szCs w:val="1"/>
                <w:color w:val="auto"/>
              </w:rPr>
            </w:pPr>
          </w:p>
        </w:tc>
      </w:tr>
      <w:tr>
        <w:trPr>
          <w:trHeight w:val="143"/>
        </w:trPr>
        <w:tc>
          <w:tcPr>
            <w:tcW w:w="1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20" w:right="80" w:hanging="315"/>
        <w:spacing w:after="0" w:line="271" w:lineRule="auto"/>
        <w:tabs>
          <w:tab w:leader="none" w:pos="3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tax-equivalent basis where applicable. The tax-equivalent adjustment for tax-exempt loans was $11.0 million, $12.2 million and $13.4 million for the years ended December 31, 2025, 2024 and 2023, respectively. The tax-equivalent adjustment for tax-exempt investment securities was $2.8 million, $3.3 million and $3.6 million for the years ended December 31, 2025, 2024 and 2023, respectively.</w:t>
      </w:r>
    </w:p>
    <w:p>
      <w:pPr>
        <w:spacing w:after="0" w:line="19"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fair value except for securities held to maturity.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3" w:name="page44"/>
    <w:bookmarkEnd w:id="43"/>
    <w:p>
      <w:pPr>
        <w:ind w:right="160" w:firstLine="315"/>
        <w:spacing w:after="0" w:line="288" w:lineRule="auto"/>
        <w:rPr>
          <w:sz w:val="20"/>
          <w:szCs w:val="20"/>
          <w:color w:val="auto"/>
        </w:rPr>
      </w:pPr>
      <w:r>
        <w:rPr>
          <w:rFonts w:ascii="Times New Roman" w:cs="Times New Roman" w:eastAsia="Times New Roman" w:hAnsi="Times New Roman"/>
          <w:sz w:val="16"/>
          <w:szCs w:val="16"/>
          <w:color w:val="auto"/>
        </w:rPr>
        <w:t>Increases and decreases in interest income, calculated on a tax-equivalent basis, and interest expense result from changes in average balances (volume) of interest earning assets and liabilities, as well as changes in average interest rates. The following table shows the effect that these factors had on the interest earned on our interest earning assets and the interest incurred on our interest bearing liabilities for the years indicated. The effect of changes in volume is determined by multiplying the change in volume by the previous year's average rate. Similarly, the effect of rate changes is calculated by multiplying the change in average rate by the previous year's volume. Changes applicable to both volume and rate have been allocated to volume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2025 Compared to 2024</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2024 Compared to 2023</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55"/>
              <w:spacing w:after="0" w:line="127" w:lineRule="exact"/>
              <w:rPr>
                <w:sz w:val="20"/>
                <w:szCs w:val="20"/>
                <w:color w:val="auto"/>
              </w:rPr>
            </w:pPr>
            <w:r>
              <w:rPr>
                <w:rFonts w:ascii="Times New Roman" w:cs="Times New Roman" w:eastAsia="Times New Roman" w:hAnsi="Times New Roman"/>
                <w:sz w:val="14"/>
                <w:szCs w:val="14"/>
                <w:b w:val="1"/>
                <w:bCs w:val="1"/>
                <w:color w:val="auto"/>
              </w:rPr>
              <w:t>Change Due to</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Change Due to</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40" w:type="dxa"/>
            <w:vAlign w:val="bottom"/>
          </w:tcPr>
          <w:p>
            <w:pPr>
              <w:spacing w:after="0"/>
              <w:rPr>
                <w:sz w:val="10"/>
                <w:szCs w:val="10"/>
                <w:color w:val="auto"/>
              </w:rPr>
            </w:pPr>
          </w:p>
        </w:tc>
        <w:tc>
          <w:tcPr>
            <w:tcW w:w="1080" w:type="dxa"/>
            <w:vAlign w:val="bottom"/>
          </w:tcPr>
          <w:p>
            <w:pPr>
              <w:jc w:val="right"/>
              <w:ind w:right="75"/>
              <w:spacing w:after="0" w:line="127" w:lineRule="exact"/>
              <w:rPr>
                <w:sz w:val="20"/>
                <w:szCs w:val="20"/>
                <w:color w:val="auto"/>
              </w:rPr>
            </w:pPr>
            <w:r>
              <w:rPr>
                <w:rFonts w:ascii="Times New Roman" w:cs="Times New Roman" w:eastAsia="Times New Roman" w:hAnsi="Times New Roman"/>
                <w:sz w:val="14"/>
                <w:szCs w:val="14"/>
                <w:b w:val="1"/>
                <w:bCs w:val="1"/>
                <w:color w:val="auto"/>
              </w:rPr>
              <w:t>Change Due to</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Change Due to</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 Attributable to:</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70,554</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(124,385)</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105,289</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66,110</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Interest Expense Attributable to:</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demand deposits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66,050</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and money market deposits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68,920</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20,297</w:t>
            </w:r>
          </w:p>
        </w:tc>
        <w:tc>
          <w:tcPr>
            <w:tcW w:w="0" w:type="dxa"/>
            <w:vAlign w:val="bottom"/>
          </w:tcPr>
          <w:p>
            <w:pPr>
              <w:spacing w:after="0"/>
              <w:rPr>
                <w:sz w:val="1"/>
                <w:szCs w:val="1"/>
                <w:color w:val="auto"/>
              </w:rPr>
            </w:pPr>
          </w:p>
        </w:tc>
      </w:tr>
      <w:tr>
        <w:trPr>
          <w:trHeight w:val="21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interest bearing deposits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155,267</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FHLB advances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(126,276)</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other borrowings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7"/>
        </w:trPr>
        <w:tc>
          <w:tcPr>
            <w:tcW w:w="3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(149,578)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93,913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27,073</w:t>
            </w:r>
          </w:p>
        </w:tc>
        <w:tc>
          <w:tcPr>
            <w:tcW w:w="0" w:type="dxa"/>
            <w:vAlign w:val="bottom"/>
          </w:tcPr>
          <w:p>
            <w:pPr>
              <w:spacing w:after="0"/>
              <w:rPr>
                <w:sz w:val="1"/>
                <w:szCs w:val="1"/>
                <w:color w:val="auto"/>
              </w:rPr>
            </w:pPr>
          </w:p>
        </w:tc>
      </w:tr>
      <w:tr>
        <w:trPr>
          <w:trHeight w:val="242"/>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tax-equivalent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140" w:firstLine="315"/>
        <w:spacing w:after="0" w:line="256" w:lineRule="auto"/>
        <w:rPr>
          <w:sz w:val="20"/>
          <w:szCs w:val="20"/>
          <w:color w:val="auto"/>
        </w:rPr>
      </w:pPr>
      <w:r>
        <w:rPr>
          <w:rFonts w:ascii="Times New Roman" w:cs="Times New Roman" w:eastAsia="Times New Roman" w:hAnsi="Times New Roman"/>
          <w:sz w:val="18"/>
          <w:szCs w:val="18"/>
          <w:color w:val="auto"/>
        </w:rPr>
        <w:t>Net interest income, calculated on a tax-equivalent basis, was $1.0 billion for the year ended December 31, 2025, compared to $929.8 million for the year ended December 31, 2024, an increase of $71.6 million. The increase was comprised of decreases in tax-equivalent interest income and interest expense of $134.0 million and $205.6 million, respectively.</w:t>
      </w:r>
    </w:p>
    <w:p>
      <w:pPr>
        <w:spacing w:after="0" w:line="113" w:lineRule="exact"/>
        <w:rPr>
          <w:sz w:val="20"/>
          <w:szCs w:val="20"/>
          <w:color w:val="auto"/>
        </w:rPr>
      </w:pPr>
    </w:p>
    <w:p>
      <w:pPr>
        <w:ind w:right="160" w:firstLine="315"/>
        <w:spacing w:after="0" w:line="252" w:lineRule="auto"/>
        <w:rPr>
          <w:sz w:val="20"/>
          <w:szCs w:val="20"/>
          <w:color w:val="auto"/>
        </w:rPr>
      </w:pPr>
      <w:r>
        <w:rPr>
          <w:rFonts w:ascii="Times New Roman" w:cs="Times New Roman" w:eastAsia="Times New Roman" w:hAnsi="Times New Roman"/>
          <w:sz w:val="18"/>
          <w:szCs w:val="18"/>
          <w:color w:val="auto"/>
        </w:rPr>
        <w:t>The net interest margin, calculated on a tax-equivalent basis, increased to 2.95% for the year ended December 31, 2025, from 2.73% for the year ended December 31, 2024. Both the yield on interest earning assets and the cost of interest bearing liabilities declined during the year, reflecting a lower interest rate environment. However, the decline in the cost of interest bearing liabilities outpaced the decline in the yield on interest earning assets, primarily as a result of balance sheet repositioning, particularly an improved funding mix.</w:t>
      </w:r>
    </w:p>
    <w:p>
      <w:pPr>
        <w:spacing w:after="0" w:line="116" w:lineRule="exact"/>
        <w:rPr>
          <w:sz w:val="20"/>
          <w:szCs w:val="20"/>
          <w:color w:val="auto"/>
        </w:rPr>
      </w:pPr>
    </w:p>
    <w:p>
      <w:pPr>
        <w:ind w:right="140" w:firstLine="315"/>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2025 compared to the year ended December 31, 2024, average NIDDA grew by $844 million while average FHLB advances declined by $914 million. Within interest bearing deposits, there was a shift from generally higher priced time deposits to generally lower priced forms of interest bearing deposits. On the asset side of the balance sheet, average core loans increased to 65.9% of average loans for the year ended December 31, 2025, from 62.8% of average loans for the year ended December 31, 2024, while generally lower-yielding residential loans declined to 30.7% of average loans from 32.6% of average loans for the respective periods.</w:t>
      </w:r>
    </w:p>
    <w:p>
      <w:pPr>
        <w:spacing w:after="0" w:line="109" w:lineRule="exact"/>
        <w:rPr>
          <w:sz w:val="20"/>
          <w:szCs w:val="20"/>
          <w:color w:val="auto"/>
        </w:rPr>
      </w:pPr>
    </w:p>
    <w:p>
      <w:pPr>
        <w:ind w:right="420" w:firstLine="315"/>
        <w:spacing w:after="0" w:line="268" w:lineRule="auto"/>
        <w:rPr>
          <w:sz w:val="20"/>
          <w:szCs w:val="20"/>
          <w:color w:val="auto"/>
        </w:rPr>
      </w:pPr>
      <w:r>
        <w:rPr>
          <w:rFonts w:ascii="Times New Roman" w:cs="Times New Roman" w:eastAsia="Times New Roman" w:hAnsi="Times New Roman"/>
          <w:sz w:val="18"/>
          <w:szCs w:val="18"/>
          <w:color w:val="auto"/>
        </w:rPr>
        <w:t>Further discussion of factors impacting the net interest margin for the year ended December 31, 2025 compared to the year ended December 31, 2024 follows:</w:t>
      </w:r>
    </w:p>
    <w:p>
      <w:pPr>
        <w:spacing w:after="0" w:line="103" w:lineRule="exact"/>
        <w:rPr>
          <w:sz w:val="20"/>
          <w:szCs w:val="20"/>
          <w:color w:val="auto"/>
        </w:rPr>
      </w:pPr>
    </w:p>
    <w:p>
      <w:pPr>
        <w:ind w:left="640" w:right="60" w:hanging="319"/>
        <w:spacing w:after="0" w:line="268" w:lineRule="auto"/>
        <w:tabs>
          <w:tab w:leader="none" w:pos="636"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tax-equivalent yield on loans decreased to 5.48% for the year ended December 31, 2025, from 5.78% for the year ended December 31, 2024. This decrease reflected the impact of declining market rates on the predominantly floating rate commercial portfolio.</w:t>
      </w:r>
    </w:p>
    <w:p>
      <w:pPr>
        <w:spacing w:after="0" w:line="102" w:lineRule="exact"/>
        <w:rPr>
          <w:rFonts w:ascii="Times New Roman" w:cs="Times New Roman" w:eastAsia="Times New Roman" w:hAnsi="Times New Roman"/>
          <w:sz w:val="18"/>
          <w:szCs w:val="18"/>
          <w:i w:val="1"/>
          <w:iCs w:val="1"/>
          <w:color w:val="auto"/>
        </w:rPr>
      </w:pPr>
    </w:p>
    <w:p>
      <w:pPr>
        <w:ind w:left="640" w:right="20" w:hanging="319"/>
        <w:spacing w:after="0" w:line="268"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tax-equivalent yield on investment securities decreased to 5.04% for the year ended December 31, 2025, from 5.53% for the year ended December 31, 2024. This decrease resulted primarily from the reset of coupon rates on variable rate securities.</w:t>
      </w: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4" w:name="page45"/>
    <w:bookmarkEnd w:id="44"/>
    <w:p>
      <w:pPr>
        <w:ind w:left="640" w:right="80" w:hanging="319"/>
        <w:spacing w:after="0" w:line="256" w:lineRule="auto"/>
        <w:tabs>
          <w:tab w:leader="none" w:pos="636"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average cost of interest bearing deposits decreased to 3.39% for the year ended December 31, 2025, from 4.10% for the year ended December 31, 2024. This decline reflected actions taken to proactively reduce deposit pricing in response to a lower Federal funds rate and re-pricing of term deposits.</w:t>
      </w:r>
    </w:p>
    <w:p>
      <w:pPr>
        <w:spacing w:after="0" w:line="113" w:lineRule="exact"/>
        <w:rPr>
          <w:rFonts w:ascii="Times New Roman" w:cs="Times New Roman" w:eastAsia="Times New Roman" w:hAnsi="Times New Roman"/>
          <w:sz w:val="18"/>
          <w:szCs w:val="18"/>
          <w:i w:val="1"/>
          <w:iCs w:val="1"/>
          <w:color w:val="auto"/>
        </w:rPr>
      </w:pPr>
    </w:p>
    <w:p>
      <w:pPr>
        <w:ind w:left="640" w:right="300" w:hanging="319"/>
        <w:spacing w:after="0" w:line="331" w:lineRule="auto"/>
        <w:tabs>
          <w:tab w:leader="none" w:pos="636"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average rate paid on FHLB advances decreased to 3.82% for the year ended December 31, 2025, from 4.15% for the year ended December 31, 2024, primarily due to repayment of higher rate short-term advances, partially offset by the maturities of some cash flow hedges.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152" w:lineRule="exact"/>
        <w:rPr>
          <w:sz w:val="20"/>
          <w:szCs w:val="20"/>
          <w:color w:val="auto"/>
        </w:rPr>
      </w:pPr>
    </w:p>
    <w:p>
      <w:pPr>
        <w:ind w:right="120" w:firstLine="315"/>
        <w:spacing w:after="0" w:line="288" w:lineRule="auto"/>
        <w:rPr>
          <w:sz w:val="20"/>
          <w:szCs w:val="20"/>
          <w:color w:val="auto"/>
        </w:rPr>
      </w:pPr>
      <w:r>
        <w:rPr>
          <w:rFonts w:ascii="Times New Roman" w:cs="Times New Roman" w:eastAsia="Times New Roman" w:hAnsi="Times New Roman"/>
          <w:sz w:val="16"/>
          <w:szCs w:val="16"/>
          <w:color w:val="auto"/>
        </w:rPr>
        <w:t>The provision for credit losses is a charge or credit to earnings required to maintain the ACL at a level consistent with management’s estimate of expected credit losses on financial assets carried at amortized cost at the balance sheet date. The amount of the provision is impacted by changes in current economic conditions as well as in management's reasonable and supportable economic forecast, loan originations and runoff, changes in portfolio mix, risk rating migration and portfolio seasoning, changes in specific reserves, changes in expected prepayment speeds and other assumptions. The provision for credit losses also includes amounts related to off-balance sheet credit exposures and may include amounts related to accrued interest receivable and AFS debt securities.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components of the provision for credit losses for the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related to funded portion of loans</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68,351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58,986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78,924</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 related to off-balance sheet credit exposures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8"/>
              </w:rPr>
              <w:t>(3,914)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w:t>
            </w:r>
          </w:p>
        </w:tc>
      </w:tr>
      <w:tr>
        <w:trPr>
          <w:trHeight w:val="242"/>
        </w:trPr>
        <w:tc>
          <w:tcPr>
            <w:tcW w:w="6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provision for credit losses</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67,940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55,072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right="140" w:firstLine="315"/>
        <w:spacing w:after="0" w:line="256" w:lineRule="auto"/>
        <w:rPr>
          <w:sz w:val="20"/>
          <w:szCs w:val="20"/>
          <w:color w:val="auto"/>
        </w:rPr>
      </w:pPr>
      <w:r>
        <w:rPr>
          <w:rFonts w:ascii="Times New Roman" w:cs="Times New Roman" w:eastAsia="Times New Roman" w:hAnsi="Times New Roman"/>
          <w:sz w:val="18"/>
          <w:szCs w:val="18"/>
          <w:color w:val="auto"/>
        </w:rPr>
        <w:t>The most significant factor impacting the provision for credit losses for the year ended December 31, 2025 was an increase in specific reserves, partially offset by; (i) changes in portfolio composition and borrower financial performance, (ii) improvements in the economic forecast, and (iii) routine modeling and assumption updates.</w:t>
      </w:r>
    </w:p>
    <w:p>
      <w:pPr>
        <w:spacing w:after="0" w:line="113" w:lineRule="exact"/>
        <w:rPr>
          <w:sz w:val="20"/>
          <w:szCs w:val="20"/>
          <w:color w:val="auto"/>
        </w:rPr>
      </w:pPr>
    </w:p>
    <w:p>
      <w:pPr>
        <w:ind w:right="220" w:firstLine="315"/>
        <w:spacing w:after="0" w:line="256" w:lineRule="auto"/>
        <w:rPr>
          <w:sz w:val="20"/>
          <w:szCs w:val="20"/>
          <w:color w:val="auto"/>
        </w:rPr>
      </w:pPr>
      <w:r>
        <w:rPr>
          <w:rFonts w:ascii="Times New Roman" w:cs="Times New Roman" w:eastAsia="Times New Roman" w:hAnsi="Times New Roman"/>
          <w:sz w:val="18"/>
          <w:szCs w:val="18"/>
          <w:color w:val="auto"/>
        </w:rPr>
        <w:t>The provision for credit losses may be volatile and the level of the ACL may change materially from current levels. Future levels of the ACL could be significantly impacted, in either direction, by changes in factors such as, but not limited to, economic conditions or the economic outlook, the composition of the loan portfolio, the financial condition of our borrowers and collateral values.</w:t>
      </w:r>
    </w:p>
    <w:p>
      <w:pPr>
        <w:spacing w:after="0" w:line="113" w:lineRule="exact"/>
        <w:rPr>
          <w:sz w:val="20"/>
          <w:szCs w:val="20"/>
          <w:color w:val="auto"/>
        </w:rPr>
      </w:pPr>
    </w:p>
    <w:p>
      <w:pPr>
        <w:ind w:right="340" w:firstLine="315"/>
        <w:spacing w:after="0" w:line="331" w:lineRule="auto"/>
        <w:rPr>
          <w:sz w:val="20"/>
          <w:szCs w:val="20"/>
          <w:color w:val="auto"/>
        </w:rPr>
      </w:pPr>
      <w:r>
        <w:rPr>
          <w:rFonts w:ascii="Times New Roman" w:cs="Times New Roman" w:eastAsia="Times New Roman" w:hAnsi="Times New Roman"/>
          <w:sz w:val="16"/>
          <w:szCs w:val="16"/>
          <w:color w:val="auto"/>
        </w:rPr>
        <w:t>The determination of the amount of the ACL is complex and involves a high degree of judgment and subjectivity. See “Analysis of the Allowance for Credit Losses” below for more information about how we determine the appropriate level of the ACL and about factors that impacted the level of the ACL.</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comparison of the categories of non-interest income for the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0"/>
        </w:trPr>
        <w:tc>
          <w:tcPr>
            <w:tcW w:w="6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Deposit service charges and fees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20,906</w:t>
            </w:r>
          </w:p>
        </w:tc>
      </w:tr>
      <w:tr>
        <w:trPr>
          <w:trHeight w:val="22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financing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45,882</w:t>
            </w:r>
          </w:p>
        </w:tc>
      </w:tr>
      <w:tr>
        <w:trPr>
          <w:trHeight w:val="223"/>
        </w:trPr>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markets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w:t>
            </w:r>
          </w:p>
        </w:tc>
      </w:tr>
      <w:tr>
        <w:trPr>
          <w:trHeight w:val="22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 syndication fees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2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fees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17"/>
        </w:trPr>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capital markets income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w:t>
            </w:r>
          </w:p>
        </w:tc>
      </w:tr>
      <w:tr>
        <w:trPr>
          <w:trHeight w:val="217"/>
        </w:trPr>
        <w:tc>
          <w:tcPr>
            <w:tcW w:w="6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non-interest income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8,454</w:t>
            </w:r>
          </w:p>
        </w:tc>
      </w:tr>
      <w:tr>
        <w:trPr>
          <w:trHeight w:val="24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right="40" w:firstLine="315"/>
        <w:spacing w:after="0" w:line="256" w:lineRule="auto"/>
        <w:rPr>
          <w:sz w:val="20"/>
          <w:szCs w:val="20"/>
          <w:color w:val="auto"/>
        </w:rPr>
      </w:pPr>
      <w:r>
        <w:rPr>
          <w:rFonts w:ascii="Times New Roman" w:cs="Times New Roman" w:eastAsia="Times New Roman" w:hAnsi="Times New Roman"/>
          <w:sz w:val="18"/>
          <w:szCs w:val="18"/>
          <w:color w:val="auto"/>
        </w:rPr>
        <w:t>The decrease in lease financing revenue for the year ended December 31, 2025, compared to the year ended December 31, 2024, was attributable primarily to the continuing decline of the operating lease equipment portfolio. Expense related to the depreciation of operating lease equipment also reflected a declining trend over these comparative periods.</w:t>
      </w: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5" w:name="page46"/>
    <w:bookmarkEnd w:id="45"/>
    <w:p>
      <w:pPr>
        <w:ind w:right="240" w:firstLine="315"/>
        <w:spacing w:after="0" w:line="256" w:lineRule="auto"/>
        <w:rPr>
          <w:sz w:val="20"/>
          <w:szCs w:val="20"/>
          <w:color w:val="auto"/>
        </w:rPr>
      </w:pPr>
      <w:r>
        <w:rPr>
          <w:rFonts w:ascii="Times New Roman" w:cs="Times New Roman" w:eastAsia="Times New Roman" w:hAnsi="Times New Roman"/>
          <w:sz w:val="18"/>
          <w:szCs w:val="18"/>
          <w:color w:val="auto"/>
        </w:rPr>
        <w:t>The more significant items included in other non-interest income in the table above typically may include commercial card revenue, lending related fees other than origination fees, BOLI income and securities gains and losses. The increase for the year ended December 31, 2025, compared to the year ended December 31, 2024, was primarily a result of increase in BOLI income.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components of non-interest expense for the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0"/>
        </w:trPr>
        <w:tc>
          <w:tcPr>
            <w:tcW w:w="6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280,744</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43,345</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 insurance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66,747</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79,984</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operating lease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44,446</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 related rebate and commission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41,907</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78,778</w:t>
            </w:r>
          </w:p>
        </w:tc>
      </w:tr>
      <w:tr>
        <w:trPr>
          <w:trHeight w:val="217"/>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635,951</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right="80" w:firstLine="315"/>
        <w:spacing w:after="0" w:line="268" w:lineRule="auto"/>
        <w:rPr>
          <w:sz w:val="20"/>
          <w:szCs w:val="20"/>
          <w:color w:val="auto"/>
        </w:rPr>
      </w:pPr>
      <w:r>
        <w:rPr>
          <w:rFonts w:ascii="Times New Roman" w:cs="Times New Roman" w:eastAsia="Times New Roman" w:hAnsi="Times New Roman"/>
          <w:sz w:val="18"/>
          <w:szCs w:val="18"/>
          <w:color w:val="auto"/>
        </w:rPr>
        <w:t>The increase in compensation relates to investments we are making in people to support future growth of the commercial business, regular merit increases, and increased variable compensation cost, related in part to an increase in the Company's stock price.</w:t>
      </w:r>
    </w:p>
    <w:p>
      <w:pPr>
        <w:spacing w:after="0" w:line="103" w:lineRule="exact"/>
        <w:rPr>
          <w:sz w:val="20"/>
          <w:szCs w:val="20"/>
          <w:color w:val="auto"/>
        </w:rPr>
      </w:pPr>
    </w:p>
    <w:p>
      <w:pPr>
        <w:jc w:val="both"/>
        <w:ind w:right="140" w:firstLine="315"/>
        <w:spacing w:after="0" w:line="256" w:lineRule="auto"/>
        <w:rPr>
          <w:sz w:val="20"/>
          <w:szCs w:val="20"/>
          <w:color w:val="auto"/>
        </w:rPr>
      </w:pPr>
      <w:r>
        <w:rPr>
          <w:rFonts w:ascii="Times New Roman" w:cs="Times New Roman" w:eastAsia="Times New Roman" w:hAnsi="Times New Roman"/>
          <w:sz w:val="18"/>
          <w:szCs w:val="18"/>
          <w:color w:val="auto"/>
        </w:rPr>
        <w:t>The decrease in deposit insurance expense was primarily attributable to a $5.2 million FDIC special assessment incurred during the year ended December 31, 2024. A lower base assessment rate for the year ended December 31, 2025 compared to the year ended December 31, 2024, also contributed to the decline in deposit insurance expense.</w:t>
      </w:r>
    </w:p>
    <w:p>
      <w:pPr>
        <w:spacing w:after="0" w:line="100" w:lineRule="exact"/>
        <w:rPr>
          <w:sz w:val="20"/>
          <w:szCs w:val="20"/>
          <w:color w:val="auto"/>
        </w:rPr>
      </w:pPr>
    </w:p>
    <w:p>
      <w:pPr>
        <w:ind w:right="180" w:firstLine="315"/>
        <w:spacing w:after="0" w:line="268" w:lineRule="auto"/>
        <w:rPr>
          <w:sz w:val="20"/>
          <w:szCs w:val="20"/>
          <w:color w:val="auto"/>
        </w:rPr>
      </w:pPr>
      <w:r>
        <w:rPr>
          <w:rFonts w:ascii="Times New Roman" w:cs="Times New Roman" w:eastAsia="Times New Roman" w:hAnsi="Times New Roman"/>
          <w:sz w:val="18"/>
          <w:szCs w:val="18"/>
          <w:color w:val="auto"/>
        </w:rPr>
        <w:t>The decline in depreciation of operating lease equipment for the year ended December 31, 2025 was primarily attributable to the continued decline in the size of the operating lease equipment portfolio as discussed above.</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non-interest expense for the year ended December 31, 2025 included $3.8 million of write downs of previously capitalized software.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provision for income taxes for the years ended December 31, 2025, 2024 and 2023 was $93.4 million, $83.9 million and $58.4 million,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 was 25.82%, 26.52% and 24.64% for the years ended 2025, 2024 and 2023, respectively.</w:t>
      </w:r>
    </w:p>
    <w:p>
      <w:pPr>
        <w:spacing w:after="0" w:line="117" w:lineRule="exact"/>
        <w:rPr>
          <w:sz w:val="20"/>
          <w:szCs w:val="20"/>
          <w:color w:val="auto"/>
        </w:rPr>
      </w:pPr>
    </w:p>
    <w:p>
      <w:pPr>
        <w:ind w:right="100" w:firstLine="315"/>
        <w:spacing w:after="0" w:line="268" w:lineRule="auto"/>
        <w:rPr>
          <w:sz w:val="20"/>
          <w:szCs w:val="20"/>
          <w:color w:val="auto"/>
        </w:rPr>
      </w:pPr>
      <w:r>
        <w:rPr>
          <w:rFonts w:ascii="Times New Roman" w:cs="Times New Roman" w:eastAsia="Times New Roman" w:hAnsi="Times New Roman"/>
          <w:sz w:val="18"/>
          <w:szCs w:val="18"/>
          <w:color w:val="auto"/>
        </w:rPr>
        <w:t>See Note 9 to the consolidated financial statements for more information about income taxes including a reconciliation of the Company's effective income tax rate to the statutory federal rate.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150" w:lineRule="exact"/>
        <w:rPr>
          <w:sz w:val="20"/>
          <w:szCs w:val="20"/>
          <w:color w:val="auto"/>
        </w:rPr>
      </w:pPr>
    </w:p>
    <w:p>
      <w:pPr>
        <w:ind w:right="200" w:firstLine="315"/>
        <w:spacing w:after="0" w:line="252" w:lineRule="auto"/>
        <w:rPr>
          <w:sz w:val="20"/>
          <w:szCs w:val="20"/>
          <w:color w:val="auto"/>
        </w:rPr>
      </w:pPr>
      <w:r>
        <w:rPr>
          <w:rFonts w:ascii="Times New Roman" w:cs="Times New Roman" w:eastAsia="Times New Roman" w:hAnsi="Times New Roman"/>
          <w:sz w:val="18"/>
          <w:szCs w:val="18"/>
          <w:color w:val="auto"/>
        </w:rPr>
        <w:t>We have continued to execute on our organic balance sheet transformation strategy, focused on improving both the funding profile and asset mix. For the year ended December 31, 2025, NIDDA grew by $1.5 billion from 27% to 31% of total deposits, and non-brokered deposits grew by $1.8 billion. Wholesale funding, including FHLB advances and brokered deposits, declined by $1.7 billion. For the year ended December 31, 2025 compared to the year ended December 31, 2024, average NIDDA grew by $844 million.</w:t>
      </w:r>
    </w:p>
    <w:p>
      <w:pPr>
        <w:spacing w:after="0" w:line="116" w:lineRule="exact"/>
        <w:rPr>
          <w:sz w:val="20"/>
          <w:szCs w:val="20"/>
          <w:color w:val="auto"/>
        </w:rPr>
      </w:pPr>
    </w:p>
    <w:p>
      <w:pPr>
        <w:ind w:firstLine="315"/>
        <w:spacing w:after="0" w:line="249" w:lineRule="auto"/>
        <w:rPr>
          <w:sz w:val="20"/>
          <w:szCs w:val="20"/>
          <w:color w:val="auto"/>
        </w:rPr>
      </w:pPr>
      <w:r>
        <w:rPr>
          <w:rFonts w:ascii="Times New Roman" w:cs="Times New Roman" w:eastAsia="Times New Roman" w:hAnsi="Times New Roman"/>
          <w:sz w:val="18"/>
          <w:szCs w:val="18"/>
          <w:color w:val="auto"/>
        </w:rPr>
        <w:t>Total loans declined by $24 million for the year ended December 31, 2025. Consistent with our balance sheet strategy, residential, franchise, equipment and municipal finance portfolios declined by $810 million, while core loans grew by $786 million. The core loan portfolio segments comprised 68.2% of total loans at December 31, 2025, up from 64.9% at December 31, 2024, while residential loans declined to 28.8% of total loans at December 31, 2025 from 31.2% at December 31, 2024. The securities portfolio grew by $133 million. The loan-to-deposit ratio was 82.7% at December 31, 2025 compared to 87.2% at December 31, 2024.</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amortized cost and carrying value, which is fair value, of investment securities at the dates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120" w:type="dxa"/>
            <w:vAlign w:val="bottom"/>
          </w:tcPr>
          <w:p>
            <w:pPr>
              <w:spacing w:after="0"/>
              <w:rPr>
                <w:sz w:val="10"/>
                <w:szCs w:val="10"/>
                <w:color w:val="auto"/>
              </w:rPr>
            </w:pPr>
          </w:p>
        </w:tc>
        <w:tc>
          <w:tcPr>
            <w:tcW w:w="106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Carrying Value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106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Carrying Value</w:t>
            </w:r>
          </w:p>
        </w:tc>
        <w:tc>
          <w:tcPr>
            <w:tcW w:w="0" w:type="dxa"/>
            <w:vAlign w:val="bottom"/>
          </w:tcPr>
          <w:p>
            <w:pPr>
              <w:spacing w:after="0"/>
              <w:rPr>
                <w:sz w:val="1"/>
                <w:szCs w:val="1"/>
                <w:color w:val="auto"/>
              </w:rPr>
            </w:pPr>
          </w:p>
        </w:tc>
      </w:tr>
      <w:tr>
        <w:trPr>
          <w:trHeight w:val="191"/>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202,952</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and sponsored enterprise residential MBS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2,562,702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2,672,554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2,649,690</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and sponsored enterprise commercial MBS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495,753</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 residential MBS and CMOs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2,683,881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2,490,828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2,238,046</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 commercial MBS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2,182,983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2,168,110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1,784,029</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Single family real estate-backed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327,081</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1,132,699</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Non-mortgage asset-backed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94,454</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municipal obligations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104,010</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SBA securities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72,702</w:t>
            </w:r>
          </w:p>
        </w:tc>
        <w:tc>
          <w:tcPr>
            <w:tcW w:w="0" w:type="dxa"/>
            <w:vAlign w:val="bottom"/>
          </w:tcPr>
          <w:p>
            <w:pPr>
              <w:spacing w:after="0"/>
              <w:rPr>
                <w:sz w:val="1"/>
                <w:szCs w:val="1"/>
                <w:color w:val="auto"/>
              </w:rPr>
            </w:pPr>
          </w:p>
        </w:tc>
      </w:tr>
      <w:tr>
        <w:trPr>
          <w:trHeight w:val="242"/>
        </w:trPr>
        <w:tc>
          <w:tcPr>
            <w:tcW w:w="6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9,525,046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9,257,917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9,507,041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9,101,416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5,734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28,828</w:t>
            </w:r>
          </w:p>
        </w:tc>
        <w:tc>
          <w:tcPr>
            <w:tcW w:w="0" w:type="dxa"/>
            <w:vAlign w:val="bottom"/>
          </w:tcPr>
          <w:p>
            <w:pPr>
              <w:spacing w:after="0"/>
              <w:rPr>
                <w:sz w:val="1"/>
                <w:szCs w:val="1"/>
                <w:color w:val="auto"/>
              </w:rPr>
            </w:pPr>
          </w:p>
        </w:tc>
      </w:tr>
      <w:tr>
        <w:trPr>
          <w:trHeight w:val="242"/>
        </w:trPr>
        <w:tc>
          <w:tcPr>
            <w:tcW w:w="6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9,263,651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9,130,244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firstLine="315"/>
        <w:spacing w:after="0" w:line="246" w:lineRule="auto"/>
        <w:rPr>
          <w:sz w:val="20"/>
          <w:szCs w:val="20"/>
          <w:color w:val="auto"/>
        </w:rPr>
      </w:pPr>
      <w:r>
        <w:rPr>
          <w:rFonts w:ascii="Times New Roman" w:cs="Times New Roman" w:eastAsia="Times New Roman" w:hAnsi="Times New Roman"/>
          <w:sz w:val="18"/>
          <w:szCs w:val="18"/>
          <w:color w:val="auto"/>
        </w:rPr>
        <w:t>Our investment strategy is focused on ensuring adequate liquidity, maintaining a suitable balance of high credit quality, diverse assets, managing interest rate risk, and generating acceptable returns given our established risk parameters. We have sought to maintain liquidity by investing a significant portion of the portfolio in high quality liquid securities including U.S. Treasury and U.S. Government Agency and sponsored enterprise securities. We have also invested in highly-rated structured products, including private-label commercial and residential MBS, CLOs, single family real estate-backed securities and non-mortgage asset-backed securities that, while somewhat less liquid, are generally pledgeable at either the FHLB or the FRB and provide us with attractive yields. Investment grade municipal securities provide liquidity and attractive tax-equivalent yields. We remain committed to keeping the duration of our securities portfolio short; relatively short effective portfolio duration helps mitigate interest rate risk. The estimated effective duration of the investment portfolio was 1.73 years and the estimated weighted average life of the portfolio was 5.1 years as of December 31, 2025. Approximately 69% of the securities portfolio was floating rate at December 31, 2025.</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investment securities AFS portfolio was in a net unrealized loss position of $267.1 million at December 31, 2025, an improvement of $138.5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compared to a net unrealized loss position of $405.6 million at December 31, 2024. The improvement in unrealized losses is largely due to a declining interest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environment, and in some cases, tightening spreads. Net unrealized losses at December 31, 2025 included $26.7 million of gross unrealized gains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$293.9 million of gross unrealized losses. Investment securities available for sale in unrealized loss positions at December 31, 2025 had an aggregate fair value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$4.4 billion. The unrealized losses resulted primarily from a sustained period of higher interest rates, and in some cases, wider spreads compared to the levels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which securities were purchased. None of the unrealized losses were attributable to credit loss impairments.</w:t>
      </w:r>
    </w:p>
    <w:p>
      <w:pPr>
        <w:spacing w:after="0" w:line="200" w:lineRule="exact"/>
        <w:rPr>
          <w:sz w:val="20"/>
          <w:szCs w:val="20"/>
          <w:color w:val="auto"/>
        </w:rPr>
      </w:pPr>
    </w:p>
    <w:p>
      <w:pPr>
        <w:spacing w:after="0" w:line="3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47" w:name="page48"/>
    <w:bookmarkEnd w:id="47"/>
    <w:p>
      <w:pPr>
        <w:ind w:left="320"/>
        <w:spacing w:after="0"/>
        <w:rPr>
          <w:sz w:val="20"/>
          <w:szCs w:val="20"/>
          <w:color w:val="auto"/>
        </w:rPr>
      </w:pPr>
      <w:r>
        <w:rPr>
          <w:rFonts w:ascii="Times New Roman" w:cs="Times New Roman" w:eastAsia="Times New Roman" w:hAnsi="Times New Roman"/>
          <w:sz w:val="18"/>
          <w:szCs w:val="18"/>
          <w:color w:val="auto"/>
        </w:rPr>
        <w:t>The external ratings distribution of our AFS securities portfolio at the dates indicated is depicted in the charts below:</w:t>
      </w:r>
    </w:p>
    <w:p>
      <w:pPr>
        <w:spacing w:after="0" w:line="225" w:lineRule="exact"/>
        <w:rPr>
          <w:sz w:val="20"/>
          <w:szCs w:val="20"/>
          <w:color w:val="auto"/>
        </w:rPr>
      </w:pPr>
    </w:p>
    <w:p>
      <w:pPr>
        <w:ind w:left="148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01ABE6"/>
        </w:rPr>
        <w:t>December 31, 2025</w:t>
      </w:r>
      <w:r>
        <w:rPr>
          <w:sz w:val="20"/>
          <w:szCs w:val="20"/>
          <w:color w:val="auto"/>
        </w:rPr>
        <w:tab/>
      </w:r>
      <w:r>
        <w:rPr>
          <w:rFonts w:ascii="Times New Roman" w:cs="Times New Roman" w:eastAsia="Times New Roman" w:hAnsi="Times New Roman"/>
          <w:sz w:val="16"/>
          <w:szCs w:val="16"/>
          <w:b w:val="1"/>
          <w:bCs w:val="1"/>
          <w:color w:val="01ABE6"/>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5700395" cy="2312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0395" cy="231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firstLine="315"/>
        <w:spacing w:after="0" w:line="256" w:lineRule="auto"/>
        <w:rPr>
          <w:sz w:val="20"/>
          <w:szCs w:val="20"/>
          <w:color w:val="auto"/>
        </w:rPr>
      </w:pPr>
      <w:r>
        <w:rPr>
          <w:rFonts w:ascii="Times New Roman" w:cs="Times New Roman" w:eastAsia="Times New Roman" w:hAnsi="Times New Roman"/>
          <w:sz w:val="18"/>
          <w:szCs w:val="18"/>
          <w:color w:val="auto"/>
        </w:rPr>
        <w:t>We evaluate the credit quality of individual securities in the portfolio quarterly to determine whether we expect to recover the amortized cost basis of the investments in unrealized loss positions. This evaluation considers, but is not necessarily limited to, the following factors, the relative significance of which varies depending on the circumstances pertinent to each individual security:</w:t>
      </w:r>
    </w:p>
    <w:p>
      <w:pPr>
        <w:spacing w:after="0" w:line="100" w:lineRule="exact"/>
        <w:rPr>
          <w:sz w:val="20"/>
          <w:szCs w:val="20"/>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intend to sell the security prior to recovery of its amortized cost basis;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is more likely than not that we will be required to sell the security prior to recovery of its amortized cost basis;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fair value is less than amortized cost;</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specifically related to the security, a sector, an industry or geographic area;</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condition of the issuer or underlying loan obligors;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structure and remaining payment terms of the security, including levels of subordination or over-collateralization;</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issuer to make scheduled payments;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external credit ratings;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market data; and</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prepayments, defaults, and the value and performance of underlying collateral at the individual security level.</w:t>
      </w:r>
    </w:p>
    <w:p>
      <w:pPr>
        <w:spacing w:after="0" w:line="214" w:lineRule="exact"/>
        <w:rPr>
          <w:sz w:val="20"/>
          <w:szCs w:val="20"/>
          <w:color w:val="auto"/>
        </w:rPr>
      </w:pPr>
    </w:p>
    <w:p>
      <w:pPr>
        <w:ind w:right="20" w:firstLine="315"/>
        <w:spacing w:after="0" w:line="268" w:lineRule="auto"/>
        <w:rPr>
          <w:sz w:val="20"/>
          <w:szCs w:val="20"/>
          <w:color w:val="auto"/>
        </w:rPr>
      </w:pPr>
      <w:r>
        <w:rPr>
          <w:rFonts w:ascii="Times New Roman" w:cs="Times New Roman" w:eastAsia="Times New Roman" w:hAnsi="Times New Roman"/>
          <w:sz w:val="18"/>
          <w:szCs w:val="18"/>
          <w:color w:val="auto"/>
        </w:rPr>
        <w:t>We regularly engage with bond managers to monitor trends in underlying collateral, including potential downgrades and subsequent cash flow diversions, liquidity, ratings migration, and any other relevant developments.</w:t>
      </w:r>
    </w:p>
    <w:p>
      <w:pPr>
        <w:spacing w:after="0" w:line="103" w:lineRule="exact"/>
        <w:rPr>
          <w:sz w:val="20"/>
          <w:szCs w:val="20"/>
          <w:color w:val="auto"/>
        </w:rPr>
      </w:pPr>
    </w:p>
    <w:p>
      <w:pPr>
        <w:ind w:firstLine="315"/>
        <w:spacing w:after="0" w:line="252" w:lineRule="auto"/>
        <w:rPr>
          <w:sz w:val="20"/>
          <w:szCs w:val="20"/>
          <w:color w:val="auto"/>
        </w:rPr>
      </w:pPr>
      <w:r>
        <w:rPr>
          <w:rFonts w:ascii="Times New Roman" w:cs="Times New Roman" w:eastAsia="Times New Roman" w:hAnsi="Times New Roman"/>
          <w:sz w:val="18"/>
          <w:szCs w:val="18"/>
          <w:color w:val="auto"/>
        </w:rPr>
        <w:t>We have not sold, and do not anticipate the need to sell, securities in unrealized loss positions to generate liquidity. At December 31, 2025, the Company did not have an intent to sell securities that were in significant unrealized loss positions, and it was not more likely than not that the Company would be required to sell these securities before recovery of the amortized cost basis, which may be at maturity. The substantial majority of our investment securities are eligible to be pledged at either the FHLB or FRB.</w:t>
      </w:r>
    </w:p>
    <w:p>
      <w:pPr>
        <w:spacing w:after="0" w:line="103" w:lineRule="exact"/>
        <w:rPr>
          <w:sz w:val="20"/>
          <w:szCs w:val="20"/>
          <w:color w:val="auto"/>
        </w:rPr>
      </w:pPr>
    </w:p>
    <w:p>
      <w:pPr>
        <w:ind w:right="20" w:firstLine="315"/>
        <w:spacing w:after="0" w:line="256" w:lineRule="auto"/>
        <w:rPr>
          <w:sz w:val="20"/>
          <w:szCs w:val="20"/>
          <w:color w:val="auto"/>
        </w:rPr>
      </w:pPr>
      <w:r>
        <w:rPr>
          <w:rFonts w:ascii="Times New Roman" w:cs="Times New Roman" w:eastAsia="Times New Roman" w:hAnsi="Times New Roman"/>
          <w:sz w:val="18"/>
          <w:szCs w:val="18"/>
          <w:color w:val="auto"/>
        </w:rPr>
        <w:t>The majority of our investment securities are classified within level 2 of the fair value hierarchy. U.S. Treasury securities and marketable equity securities are classified within level 1 of the hierarchy. For additional disclosure related to the fair values of investment securities, see Note 14 to the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146" w:right="459" w:bottom="1440" w:gutter="0" w:footer="0" w:header="0"/>
        </w:sectPr>
      </w:pPr>
    </w:p>
    <w:bookmarkStart w:id="48" w:name="page49"/>
    <w:bookmarkEnd w:id="48"/>
    <w:p>
      <w:pPr>
        <w:ind w:right="360" w:firstLine="315"/>
        <w:spacing w:after="0" w:line="256" w:lineRule="auto"/>
        <w:rPr>
          <w:sz w:val="20"/>
          <w:szCs w:val="20"/>
          <w:color w:val="auto"/>
        </w:rPr>
      </w:pPr>
      <w:r>
        <w:rPr>
          <w:rFonts w:ascii="Times New Roman" w:cs="Times New Roman" w:eastAsia="Times New Roman" w:hAnsi="Times New Roman"/>
          <w:sz w:val="18"/>
          <w:szCs w:val="18"/>
          <w:color w:val="auto"/>
        </w:rPr>
        <w:t>The following table shows the weighted average prospective yields based on current rates, categorized by scheduled maturity, for AFS investment securities as of December 31, 2025. Scheduled maturities have been adjusted for anticipated prepayments when applicable. Yields on tax-exempt securities have been calculated on a tax-equivalent basis, based on a federal income tax rate of 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Within One Year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After One Year</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After Five Years</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138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Through Five Years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Through Ten Years</w:t>
            </w:r>
          </w:p>
        </w:tc>
        <w:tc>
          <w:tcPr>
            <w:tcW w:w="1460" w:type="dxa"/>
            <w:vAlign w:val="bottom"/>
            <w:gridSpan w:val="2"/>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171"/>
        </w:trPr>
        <w:tc>
          <w:tcPr>
            <w:tcW w:w="3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U.S. Government agency and sponsored enterprise</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MBS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U.S. Government agency and sponsored enterprise</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MBS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 residential MBS and CMOs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 commercial MBS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Single family real estate-backed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Non-mortgage asset-backed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municipal obligations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SBA securities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composition of the loan portfolio at the dates indicated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2540" w:type="dxa"/>
            <w:vAlign w:val="bottom"/>
            <w:gridSpan w:val="3"/>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26"/>
        </w:trPr>
        <w:tc>
          <w:tcPr>
            <w:tcW w:w="57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95"/>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Percent of Total</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95"/>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97"/>
              <w:spacing w:after="0" w:line="127" w:lineRule="exact"/>
              <w:rPr>
                <w:sz w:val="20"/>
                <w:szCs w:val="20"/>
                <w:color w:val="auto"/>
              </w:rPr>
            </w:pPr>
            <w:r>
              <w:rPr>
                <w:rFonts w:ascii="Times New Roman" w:cs="Times New Roman" w:eastAsia="Times New Roman" w:hAnsi="Times New Roman"/>
                <w:sz w:val="14"/>
                <w:szCs w:val="14"/>
                <w:b w:val="1"/>
                <w:bCs w:val="1"/>
                <w:color w:val="auto"/>
              </w:rPr>
              <w:t>Percent of Total</w:t>
            </w:r>
          </w:p>
        </w:tc>
      </w:t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4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3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Loans</w:t>
            </w:r>
          </w:p>
        </w:tc>
      </w:tr>
      <w:tr>
        <w:trPr>
          <w:trHeight w:val="22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Non-owner occupied commercial real estate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6,105,207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5,652,203</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705,664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561,989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2,020,572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1,941,004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7,008,903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7,042,222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warehouse lending</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728,241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585,610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7"/>
        </w:trPr>
        <w:tc>
          <w:tcPr>
            <w:tcW w:w="5700" w:type="dxa"/>
            <w:vAlign w:val="bottom"/>
          </w:tcPr>
          <w:p>
            <w:pPr>
              <w:jc w:val="center"/>
              <w:ind w:right="4252"/>
              <w:spacing w:after="0"/>
              <w:rPr>
                <w:sz w:val="20"/>
                <w:szCs w:val="20"/>
                <w:color w:val="auto"/>
              </w:rPr>
            </w:pPr>
            <w:r>
              <w:rPr>
                <w:rFonts w:ascii="Times New Roman" w:cs="Times New Roman" w:eastAsia="Times New Roman" w:hAnsi="Times New Roman"/>
                <w:sz w:val="18"/>
                <w:szCs w:val="18"/>
                <w:color w:val="auto"/>
                <w:w w:val="96"/>
              </w:rPr>
              <w:t>Total core loans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16,568,587</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15,783,028</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64.9 %</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Pinnacle - municipal finance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619,374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720,661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and equipment finance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213,477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17"/>
        </w:trPr>
        <w:tc>
          <w:tcPr>
            <w:tcW w:w="5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17,290,707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16,717,166</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r>
      <w:tr>
        <w:trPr>
          <w:trHeight w:val="230"/>
        </w:trPr>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single family residential</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6,091,959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6,508,922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insured residential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891,041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1,071,892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17"/>
        </w:trPr>
        <w:tc>
          <w:tcPr>
            <w:tcW w:w="5700" w:type="dxa"/>
            <w:vAlign w:val="bottom"/>
            <w:tcBorders>
              <w:top w:val="single" w:sz="8" w:color="CCEEFF"/>
            </w:tcBorders>
            <w:shd w:val="clear" w:color="auto" w:fill="CCEEFF"/>
          </w:tcPr>
          <w:p>
            <w:pPr>
              <w:jc w:val="center"/>
              <w:ind w:right="4232"/>
              <w:spacing w:after="0"/>
              <w:rPr>
                <w:sz w:val="20"/>
                <w:szCs w:val="20"/>
                <w:color w:val="auto"/>
              </w:rPr>
            </w:pPr>
            <w:r>
              <w:rPr>
                <w:rFonts w:ascii="Times New Roman" w:cs="Times New Roman" w:eastAsia="Times New Roman" w:hAnsi="Times New Roman"/>
                <w:sz w:val="18"/>
                <w:szCs w:val="18"/>
                <w:color w:val="auto"/>
                <w:w w:val="96"/>
              </w:rPr>
              <w:t>Total residential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6,983,000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7,580,814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r>
      <w:tr>
        <w:trPr>
          <w:trHeight w:val="217"/>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loans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24,273,707</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24,297,980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0"/>
        </w:trPr>
        <w:tc>
          <w:tcPr>
            <w:tcW w:w="5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(219,825)</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(223,153)</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7"/>
        </w:trPr>
        <w:tc>
          <w:tcPr>
            <w:tcW w:w="5700" w:type="dxa"/>
            <w:vAlign w:val="bottom"/>
          </w:tcPr>
          <w:p>
            <w:pPr>
              <w:jc w:val="center"/>
              <w:ind w:right="4212"/>
              <w:spacing w:after="0"/>
              <w:rPr>
                <w:sz w:val="20"/>
                <w:szCs w:val="20"/>
                <w:color w:val="auto"/>
              </w:rPr>
            </w:pPr>
            <w:r>
              <w:rPr>
                <w:rFonts w:ascii="Times New Roman" w:cs="Times New Roman" w:eastAsia="Times New Roman" w:hAnsi="Times New Roman"/>
                <w:sz w:val="18"/>
                <w:szCs w:val="18"/>
                <w:color w:val="auto"/>
                <w:w w:val="95"/>
              </w:rPr>
              <w:t>Loans, net</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24,053,882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24,074,827</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Commercial loans and leases</w:t>
      </w:r>
    </w:p>
    <w:p>
      <w:pPr>
        <w:spacing w:after="0" w:line="165" w:lineRule="exact"/>
        <w:rPr>
          <w:sz w:val="20"/>
          <w:szCs w:val="20"/>
          <w:color w:val="auto"/>
        </w:rPr>
      </w:pPr>
    </w:p>
    <w:p>
      <w:pPr>
        <w:ind w:right="100" w:firstLine="315"/>
        <w:spacing w:after="0" w:line="256" w:lineRule="auto"/>
        <w:rPr>
          <w:sz w:val="20"/>
          <w:szCs w:val="20"/>
          <w:color w:val="auto"/>
        </w:rPr>
      </w:pPr>
      <w:r>
        <w:rPr>
          <w:rFonts w:ascii="Times New Roman" w:cs="Times New Roman" w:eastAsia="Times New Roman" w:hAnsi="Times New Roman"/>
          <w:sz w:val="18"/>
          <w:szCs w:val="18"/>
          <w:color w:val="auto"/>
        </w:rPr>
        <w:t>Commercial loans include a diverse portfolio of commercial and industrial loans and lines of credit, loans secured by owner-occupied commercial real-estate, income-producing non-owner occupied commercial real estate, construction loans, SBA loans, mortgage warehouse lines of credit, municipal loans and leases and franchise and equipment finance loans and leases.</w:t>
      </w: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9" w:name="page50"/>
    <w:bookmarkEnd w:id="49"/>
    <w:p>
      <w:pPr>
        <w:ind w:left="320"/>
        <w:spacing w:after="0"/>
        <w:rPr>
          <w:sz w:val="20"/>
          <w:szCs w:val="20"/>
          <w:color w:val="auto"/>
        </w:rPr>
      </w:pPr>
      <w:r>
        <w:rPr>
          <w:rFonts w:ascii="Times New Roman" w:cs="Times New Roman" w:eastAsia="Times New Roman" w:hAnsi="Times New Roman"/>
          <w:sz w:val="18"/>
          <w:szCs w:val="18"/>
          <w:i w:val="1"/>
          <w:iCs w:val="1"/>
          <w:color w:val="auto"/>
        </w:rPr>
        <w:t>Commercial Real Estate</w:t>
      </w:r>
    </w:p>
    <w:p>
      <w:pPr>
        <w:spacing w:after="0" w:line="150" w:lineRule="exact"/>
        <w:rPr>
          <w:sz w:val="20"/>
          <w:szCs w:val="20"/>
          <w:color w:val="auto"/>
        </w:rPr>
      </w:pPr>
    </w:p>
    <w:p>
      <w:pPr>
        <w:ind w:right="60" w:firstLine="315"/>
        <w:spacing w:after="0" w:line="252" w:lineRule="auto"/>
        <w:rPr>
          <w:sz w:val="20"/>
          <w:szCs w:val="20"/>
          <w:color w:val="auto"/>
        </w:rPr>
      </w:pPr>
      <w:r>
        <w:rPr>
          <w:rFonts w:ascii="Times New Roman" w:cs="Times New Roman" w:eastAsia="Times New Roman" w:hAnsi="Times New Roman"/>
          <w:sz w:val="18"/>
          <w:szCs w:val="18"/>
          <w:color w:val="auto"/>
        </w:rPr>
        <w:t>Commercial real estate loans include term loans secured by non-owner occupied income producing properties including rental apartments, industrial properties, retail shopping centers, free-standing single-tenant buildings, medical and other office buildings, warehouse facilities, hotels, and real estate secured lines of credit. The Company’s commercial real estate underwriting standards most often provide for loan terms of five to seven years, with amortization schedules of no more than thirty years. Overall CRE exposure is modest in comparison to peer banks as presented in the charts below:</w:t>
      </w:r>
    </w:p>
    <w:p>
      <w:pPr>
        <w:spacing w:after="0" w:line="374" w:lineRule="exact"/>
        <w:rPr>
          <w:sz w:val="20"/>
          <w:szCs w:val="20"/>
          <w:color w:val="auto"/>
        </w:rPr>
      </w:pPr>
    </w:p>
    <w:p>
      <w:pPr>
        <w:ind w:left="1420"/>
        <w:spacing w:after="0"/>
        <w:tabs>
          <w:tab w:leader="none" w:pos="5200" w:val="left"/>
        </w:tabs>
        <w:rPr>
          <w:sz w:val="20"/>
          <w:szCs w:val="20"/>
          <w:color w:val="auto"/>
        </w:rPr>
      </w:pPr>
      <w:r>
        <w:rPr>
          <w:rFonts w:ascii="Times New Roman" w:cs="Times New Roman" w:eastAsia="Times New Roman" w:hAnsi="Times New Roman"/>
          <w:sz w:val="18"/>
          <w:szCs w:val="18"/>
          <w:b w:val="1"/>
          <w:bCs w:val="1"/>
          <w:color w:val="01ABE6"/>
        </w:rPr>
        <w:t>CRE / Total Loans</w:t>
      </w:r>
      <w:r>
        <w:rPr>
          <w:rFonts w:ascii="Times New Roman" w:cs="Times New Roman" w:eastAsia="Times New Roman" w:hAnsi="Times New Roman"/>
          <w:sz w:val="22"/>
          <w:szCs w:val="22"/>
          <w:b w:val="1"/>
          <w:bCs w:val="1"/>
          <w:color w:val="01ABE6"/>
          <w:vertAlign w:val="superscript"/>
        </w:rPr>
        <w:t>(1)</w:t>
      </w:r>
      <w:r>
        <w:rPr>
          <w:sz w:val="20"/>
          <w:szCs w:val="20"/>
          <w:color w:val="auto"/>
        </w:rPr>
        <w:tab/>
      </w:r>
      <w:r>
        <w:rPr>
          <w:rFonts w:ascii="Times New Roman" w:cs="Times New Roman" w:eastAsia="Times New Roman" w:hAnsi="Times New Roman"/>
          <w:sz w:val="17"/>
          <w:szCs w:val="17"/>
          <w:b w:val="1"/>
          <w:bCs w:val="1"/>
          <w:color w:val="01ABE6"/>
        </w:rPr>
        <w:t>CRE / Total Risk Based Capital</w:t>
      </w:r>
      <w:r>
        <w:rPr>
          <w:rFonts w:ascii="Times New Roman" w:cs="Times New Roman" w:eastAsia="Times New Roman" w:hAnsi="Times New Roman"/>
          <w:sz w:val="21"/>
          <w:szCs w:val="21"/>
          <w:b w:val="1"/>
          <w:bCs w:val="1"/>
          <w:color w:val="01ABE6"/>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5291455" cy="1953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91455" cy="195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hanging="315"/>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Report data for banks with total assets between $10 billion and $100 billion</w:t>
      </w:r>
    </w:p>
    <w:p>
      <w:pPr>
        <w:spacing w:after="0" w:line="145" w:lineRule="exact"/>
        <w:rPr>
          <w:sz w:val="20"/>
          <w:szCs w:val="20"/>
          <w:color w:val="auto"/>
        </w:rPr>
      </w:pPr>
    </w:p>
    <w:p>
      <w:pPr>
        <w:ind w:right="14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tables present the distribution of commercial real estate loans by property type, along with weighted average DSCRs and LTVs at the dates indicated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7"/>
              </w:rPr>
              <w:t>Percent of Total</w:t>
            </w:r>
          </w:p>
        </w:tc>
        <w:tc>
          <w:tcPr>
            <w:tcW w:w="11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FL</w:t>
            </w:r>
          </w:p>
        </w:tc>
        <w:tc>
          <w:tcPr>
            <w:tcW w:w="1400" w:type="dxa"/>
            <w:vAlign w:val="bottom"/>
            <w:gridSpan w:val="3"/>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New York Tri-</w:t>
            </w: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CRE</w:t>
            </w:r>
          </w:p>
        </w:tc>
        <w:tc>
          <w:tcPr>
            <w:tcW w:w="1180" w:type="dxa"/>
            <w:vAlign w:val="bottom"/>
            <w:gridSpan w:val="2"/>
            <w:vMerge w:val="continue"/>
          </w:tcPr>
          <w:p>
            <w:pPr>
              <w:spacing w:after="0"/>
              <w:rPr>
                <w:sz w:val="16"/>
                <w:szCs w:val="16"/>
                <w:color w:val="auto"/>
              </w:rPr>
            </w:pP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000" w:type="dxa"/>
            <w:vAlign w:val="bottom"/>
            <w:gridSpan w:val="2"/>
            <w:vMerge w:val="continue"/>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DSCR</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LTV</w:t>
            </w:r>
          </w:p>
        </w:tc>
        <w:tc>
          <w:tcPr>
            <w:tcW w:w="0" w:type="dxa"/>
            <w:vAlign w:val="bottom"/>
          </w:tcPr>
          <w:p>
            <w:pPr>
              <w:spacing w:after="0"/>
              <w:rPr>
                <w:sz w:val="1"/>
                <w:szCs w:val="1"/>
                <w:color w:val="auto"/>
              </w:rPr>
            </w:pPr>
          </w:p>
        </w:tc>
      </w:tr>
      <w:tr>
        <w:trPr>
          <w:trHeight w:val="222"/>
        </w:trPr>
        <w:tc>
          <w:tcPr>
            <w:tcW w:w="25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1,426,728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5"/>
              </w:rPr>
              <w:t>1.70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0" w:type="dxa"/>
            <w:vAlign w:val="bottom"/>
          </w:tcPr>
          <w:p>
            <w:pPr>
              <w:spacing w:after="0"/>
              <w:rPr>
                <w:sz w:val="1"/>
                <w:szCs w:val="1"/>
                <w:color w:val="auto"/>
              </w:rPr>
            </w:pPr>
          </w:p>
        </w:tc>
      </w:tr>
      <w:tr>
        <w:trPr>
          <w:trHeight w:val="22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Warehouse/Industrial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1,562,342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1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1.86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943,851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5"/>
              </w:rPr>
              <w:t>1.91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0" w:type="dxa"/>
            <w:vAlign w:val="bottom"/>
          </w:tcPr>
          <w:p>
            <w:pPr>
              <w:spacing w:after="0"/>
              <w:rPr>
                <w:sz w:val="1"/>
                <w:szCs w:val="1"/>
                <w:color w:val="auto"/>
              </w:rPr>
            </w:pPr>
          </w:p>
        </w:tc>
      </w:tr>
      <w:tr>
        <w:trPr>
          <w:trHeight w:val="22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1,543,815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1.80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5"/>
              </w:rPr>
              <w:t>1.62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0" w:type="dxa"/>
            <w:vAlign w:val="bottom"/>
          </w:tcPr>
          <w:p>
            <w:pPr>
              <w:spacing w:after="0"/>
              <w:rPr>
                <w:sz w:val="1"/>
                <w:szCs w:val="1"/>
                <w:color w:val="auto"/>
              </w:rPr>
            </w:pPr>
          </w:p>
        </w:tc>
      </w:tr>
      <w:tr>
        <w:trPr>
          <w:trHeight w:val="22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and 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705,664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5"/>
              </w:rPr>
              <w:t>2.96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6,810,871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8"/>
                <w:szCs w:val="18"/>
                <w:color w:val="auto"/>
              </w:rPr>
            </w:pPr>
          </w:p>
        </w:tc>
        <w:tc>
          <w:tcPr>
            <w:tcW w:w="11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5"/>
              </w:rPr>
              <w:t>1.82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7"/>
              </w:rPr>
              <w:t>Percent of Total</w:t>
            </w:r>
          </w:p>
        </w:tc>
        <w:tc>
          <w:tcPr>
            <w:tcW w:w="11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FL</w:t>
            </w:r>
          </w:p>
        </w:tc>
        <w:tc>
          <w:tcPr>
            <w:tcW w:w="1400" w:type="dxa"/>
            <w:vAlign w:val="bottom"/>
            <w:gridSpan w:val="3"/>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New York Tri-</w:t>
            </w: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CRE</w:t>
            </w:r>
          </w:p>
        </w:tc>
        <w:tc>
          <w:tcPr>
            <w:tcW w:w="1180" w:type="dxa"/>
            <w:vAlign w:val="bottom"/>
            <w:gridSpan w:val="2"/>
            <w:vMerge w:val="continue"/>
          </w:tcPr>
          <w:p>
            <w:pPr>
              <w:spacing w:after="0"/>
              <w:rPr>
                <w:sz w:val="16"/>
                <w:szCs w:val="16"/>
                <w:color w:val="auto"/>
              </w:rPr>
            </w:pP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000" w:type="dxa"/>
            <w:vAlign w:val="bottom"/>
            <w:gridSpan w:val="2"/>
            <w:vMerge w:val="continue"/>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DSCR</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LTV</w:t>
            </w:r>
          </w:p>
        </w:tc>
        <w:tc>
          <w:tcPr>
            <w:tcW w:w="0" w:type="dxa"/>
            <w:vAlign w:val="bottom"/>
          </w:tcPr>
          <w:p>
            <w:pPr>
              <w:spacing w:after="0"/>
              <w:rPr>
                <w:sz w:val="1"/>
                <w:szCs w:val="1"/>
                <w:color w:val="auto"/>
              </w:rPr>
            </w:pPr>
          </w:p>
        </w:tc>
      </w:tr>
      <w:tr>
        <w:trPr>
          <w:trHeight w:val="222"/>
        </w:trPr>
        <w:tc>
          <w:tcPr>
            <w:tcW w:w="25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1,769,344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5"/>
              </w:rPr>
              <w:t>1.57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0" w:type="dxa"/>
            <w:vAlign w:val="bottom"/>
          </w:tcPr>
          <w:p>
            <w:pPr>
              <w:spacing w:after="0"/>
              <w:rPr>
                <w:sz w:val="1"/>
                <w:szCs w:val="1"/>
                <w:color w:val="auto"/>
              </w:rPr>
            </w:pPr>
          </w:p>
        </w:tc>
      </w:tr>
      <w:tr>
        <w:trPr>
          <w:trHeight w:val="22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Warehouse/Industrial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1,374,738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1.83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838,341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5"/>
              </w:rPr>
              <w:t>2.01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2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1,098,314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1.73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482,378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5"/>
              </w:rPr>
              <w:t>1.84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2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and 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561,989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89,088</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5"/>
              </w:rPr>
              <w:t>1.93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6,214,192</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8"/>
                <w:szCs w:val="18"/>
                <w:color w:val="auto"/>
              </w:rPr>
            </w:pPr>
          </w:p>
        </w:tc>
        <w:tc>
          <w:tcPr>
            <w:tcW w:w="11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5"/>
              </w:rPr>
              <w:t>1.76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0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1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1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9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1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50" w:name="page51"/>
    <w:bookmarkEnd w:id="50"/>
    <w:p>
      <w:pPr>
        <w:ind w:right="40" w:firstLine="315"/>
        <w:spacing w:after="0" w:line="293" w:lineRule="auto"/>
        <w:rPr>
          <w:sz w:val="20"/>
          <w:szCs w:val="20"/>
          <w:color w:val="auto"/>
        </w:rPr>
      </w:pPr>
      <w:r>
        <w:rPr>
          <w:rFonts w:ascii="Times New Roman" w:cs="Times New Roman" w:eastAsia="Times New Roman" w:hAnsi="Times New Roman"/>
          <w:sz w:val="16"/>
          <w:szCs w:val="16"/>
          <w:color w:val="auto"/>
        </w:rPr>
        <w:t>Geographic distribution in the table above is based on location of the underlying collateral property. LTVs and DSCRs are based on the most recent available information; if current appraisals are not available, LTVs are adjusted by our models based on current and forecasted sub-market dynamics. DSCRs are calculated based on current contractually required payments, which in some cases may be interest only and on current levels of operating cash flows. DSCR calculations do not include secondary forms of repayment or pro-forma rental payments on in-place leases that are currently in initial rent abatement periods.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Included in New York tri-state multifamily loans in the tables above is approximately $106 million of rent regulated exposure as of December 31, 2025.</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presents information about CRE loans maturing in the next 12 months by property type at December 31, 2025 (dollars in thousands).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of the total CRE portfolio, with a weighted average coupon rate of 4.36%, is fixed rate to the borrower and maturing in the next 12 months.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Maturing in the Next 12</w:t>
            </w:r>
          </w:p>
        </w:tc>
        <w:tc>
          <w:tcPr>
            <w:tcW w:w="2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Maturing in the Next 12</w:t>
            </w:r>
          </w:p>
        </w:tc>
        <w:tc>
          <w:tcPr>
            <w:tcW w:w="160" w:type="dxa"/>
            <w:vAlign w:val="bottom"/>
          </w:tcPr>
          <w:p>
            <w:pPr>
              <w:spacing w:after="0"/>
              <w:rPr>
                <w:sz w:val="13"/>
                <w:szCs w:val="13"/>
                <w:color w:val="auto"/>
              </w:rPr>
            </w:pPr>
          </w:p>
        </w:tc>
        <w:tc>
          <w:tcPr>
            <w:tcW w:w="1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Fixed Rate or Swapped</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Fixed Rate to Borrower</w:t>
            </w:r>
          </w:p>
        </w:tc>
        <w:tc>
          <w:tcPr>
            <w:tcW w:w="0" w:type="dxa"/>
            <w:vAlign w:val="bottom"/>
          </w:tcPr>
          <w:p>
            <w:pPr>
              <w:spacing w:after="0"/>
              <w:rPr>
                <w:sz w:val="1"/>
                <w:szCs w:val="1"/>
                <w:color w:val="auto"/>
              </w:rPr>
            </w:pPr>
          </w:p>
        </w:tc>
      </w:tr>
      <w:tr>
        <w:trPr>
          <w:trHeight w:val="145"/>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Maturing in Next 12 Months as a</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Maturing Next 12 Months</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Total Portfolio</w:t>
            </w:r>
          </w:p>
        </w:tc>
        <w:tc>
          <w:tcPr>
            <w:tcW w:w="0" w:type="dxa"/>
            <w:vAlign w:val="bottom"/>
          </w:tcPr>
          <w:p>
            <w:pPr>
              <w:spacing w:after="0"/>
              <w:rPr>
                <w:sz w:val="1"/>
                <w:szCs w:val="1"/>
                <w:color w:val="auto"/>
              </w:rPr>
            </w:pPr>
          </w:p>
        </w:tc>
      </w:tr>
      <w:tr>
        <w:trPr>
          <w:trHeight w:val="222"/>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468,057</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306,981</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Warehouse/Industrial</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474,056</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208,692</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226,613</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173,487</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337,170</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243,466</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250,134</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169,506</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227,640</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25,886</w:t>
            </w:r>
          </w:p>
        </w:tc>
        <w:tc>
          <w:tcPr>
            <w:tcW w:w="12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25,886</w:t>
            </w:r>
          </w:p>
        </w:tc>
        <w:tc>
          <w:tcPr>
            <w:tcW w:w="12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2,009,556</w:t>
            </w:r>
          </w:p>
        </w:tc>
        <w:tc>
          <w:tcPr>
            <w:tcW w:w="12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1,128,667</w:t>
            </w:r>
          </w:p>
        </w:tc>
        <w:tc>
          <w:tcPr>
            <w:tcW w:w="12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scheduled contractual maturities of the CRE portfolio by property type at December 31, 2025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1,426,728</w:t>
            </w: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Warehouse/Industrial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1,562,342</w:t>
            </w:r>
          </w:p>
        </w:tc>
      </w:tr>
      <w:tr>
        <w:trPr>
          <w:trHeight w:val="22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943,851</w:t>
            </w: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1,543,815</w:t>
            </w:r>
          </w:p>
        </w:tc>
      </w:tr>
      <w:tr>
        <w:trPr>
          <w:trHeight w:val="22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483,267</w:t>
            </w: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705,664</w:t>
            </w:r>
          </w:p>
        </w:tc>
      </w:tr>
      <w:tr>
        <w:trPr>
          <w:trHeight w:val="22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145,204</w:t>
            </w:r>
          </w:p>
        </w:tc>
      </w:tr>
      <w:tr>
        <w:trPr>
          <w:trHeight w:val="217"/>
        </w:trPr>
        <w:tc>
          <w:tcPr>
            <w:tcW w:w="234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2,009,556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1,161,555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1,444,453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819,212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928,802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447,293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6,810,871</w:t>
            </w:r>
          </w:p>
        </w:tc>
      </w:tr>
      <w:tr>
        <w:trPr>
          <w:trHeight w:val="20"/>
        </w:trPr>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40" w:firstLine="315"/>
        <w:spacing w:after="0" w:line="268" w:lineRule="auto"/>
        <w:rPr>
          <w:sz w:val="20"/>
          <w:szCs w:val="20"/>
          <w:color w:val="auto"/>
        </w:rPr>
      </w:pPr>
      <w:r>
        <w:rPr>
          <w:rFonts w:ascii="Times New Roman" w:cs="Times New Roman" w:eastAsia="Times New Roman" w:hAnsi="Times New Roman"/>
          <w:sz w:val="18"/>
          <w:szCs w:val="18"/>
          <w:color w:val="auto"/>
        </w:rPr>
        <w:t>The office segment totaled $1.4 billion at December 31, 2025, a decline of $343 million for the year. Medical office comprised approximately $307 million or 22% of the total office portfolio.</w:t>
      </w:r>
    </w:p>
    <w:p>
      <w:pPr>
        <w:spacing w:after="0" w:line="90" w:lineRule="exact"/>
        <w:rPr>
          <w:sz w:val="20"/>
          <w:szCs w:val="20"/>
          <w:color w:val="auto"/>
        </w:rPr>
      </w:pPr>
    </w:p>
    <w:p>
      <w:pPr>
        <w:ind w:right="220" w:firstLine="315"/>
        <w:spacing w:after="0" w:line="268" w:lineRule="auto"/>
        <w:rPr>
          <w:sz w:val="20"/>
          <w:szCs w:val="20"/>
          <w:color w:val="auto"/>
        </w:rPr>
      </w:pPr>
      <w:r>
        <w:rPr>
          <w:rFonts w:ascii="Times New Roman" w:cs="Times New Roman" w:eastAsia="Times New Roman" w:hAnsi="Times New Roman"/>
          <w:sz w:val="18"/>
          <w:szCs w:val="18"/>
          <w:color w:val="auto"/>
        </w:rPr>
        <w:t>Non-performing CRE loans, excluding SBA loans, totaled $97 million at December 31, 2025 and included $78 million of office exposure, including $30 million in the construction portfolio. Also see the section entitled "Asset Quality" below.</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Commercial and Industrial</w:t>
      </w:r>
    </w:p>
    <w:p>
      <w:pPr>
        <w:spacing w:after="0" w:line="150" w:lineRule="exact"/>
        <w:rPr>
          <w:sz w:val="20"/>
          <w:szCs w:val="20"/>
          <w:color w:val="auto"/>
        </w:rPr>
      </w:pPr>
    </w:p>
    <w:p>
      <w:pPr>
        <w:ind w:firstLine="315"/>
        <w:spacing w:after="0" w:line="283" w:lineRule="auto"/>
        <w:rPr>
          <w:sz w:val="20"/>
          <w:szCs w:val="20"/>
          <w:color w:val="auto"/>
        </w:rPr>
      </w:pPr>
      <w:r>
        <w:rPr>
          <w:rFonts w:ascii="Times New Roman" w:cs="Times New Roman" w:eastAsia="Times New Roman" w:hAnsi="Times New Roman"/>
          <w:sz w:val="16"/>
          <w:szCs w:val="16"/>
          <w:color w:val="auto"/>
        </w:rPr>
        <w:t>Commercial and industrial loans are typically made to small, middle market and larger corporate businesses and not-for-profit entities and include equipment loans, secured and unsecured working capital facilities, formula-based loans, subscription finance lines of credit, trade finance, SBA product offerings, business acquisition finance credit facilities, credit facilities to institutional real estate entities such as REITs and commercial real estate investment funds, and a small amount of commercial credit cards. These loans may be structured as term loans, typically with maturities of five to seven years, or revolving lines of credit which may have multi-year maturities. In addition to financing provided by Pinnacle, the Bank provides financing to state and local governmental entities generally within our primary geographic markets. The Bank makes loans secured by owner-occupied commercial real estate that typically have risk profiles more closely aligned with that of commercial and industrial loans than with other types of commercial real estate loans.</w:t>
      </w:r>
    </w:p>
    <w:p>
      <w:pPr>
        <w:spacing w:after="0" w:line="200" w:lineRule="exact"/>
        <w:rPr>
          <w:sz w:val="20"/>
          <w:szCs w:val="20"/>
          <w:color w:val="auto"/>
        </w:rPr>
      </w:pPr>
    </w:p>
    <w:p>
      <w:pPr>
        <w:spacing w:after="0" w:line="2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51" w:name="page52"/>
    <w:bookmarkEnd w:id="51"/>
    <w:p>
      <w:pPr>
        <w:ind w:left="320"/>
        <w:spacing w:after="0"/>
        <w:rPr>
          <w:sz w:val="20"/>
          <w:szCs w:val="20"/>
          <w:color w:val="auto"/>
        </w:rPr>
      </w:pPr>
      <w:r>
        <w:rPr>
          <w:rFonts w:ascii="Times New Roman" w:cs="Times New Roman" w:eastAsia="Times New Roman" w:hAnsi="Times New Roman"/>
          <w:sz w:val="18"/>
          <w:szCs w:val="18"/>
          <w:color w:val="auto"/>
        </w:rPr>
        <w:t>The following table presents the exposure in the C&amp;I portfolio by industry, at December 31, 2025 (dollars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r>
              <w:rPr>
                <w:rFonts w:ascii="Times New Roman" w:cs="Times New Roman" w:eastAsia="Times New Roman" w:hAnsi="Times New Roman"/>
                <w:sz w:val="18"/>
                <w:szCs w:val="18"/>
                <w:b w:val="1"/>
                <w:bCs w:val="1"/>
                <w:color w:val="auto"/>
                <w:vertAlign w:val="superscript"/>
              </w:rPr>
              <w:t>(1)</w:t>
            </w:r>
          </w:p>
        </w:tc>
        <w:tc>
          <w:tcPr>
            <w:tcW w:w="16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 of Total</w:t>
            </w:r>
          </w:p>
        </w:tc>
      </w:tr>
      <w:tr>
        <w:trPr>
          <w:trHeight w:val="217"/>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1,473,975</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Care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799,003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Trade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700,386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695,838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Educational Services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657,259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647,469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 / Warehousing</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593,584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 and Rental &amp; Leasing</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527,180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441,863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Trade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375,610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Scientific, and Technical Services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364,230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290,346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Administration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249,204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Arts, Entertainment, and Recreation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and Support and Waste Management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Accommodation and Food Services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136,819</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2"/>
        </w:trPr>
        <w:tc>
          <w:tcPr>
            <w:tcW w:w="8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9,029,475</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13773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312" w:lineRule="exact"/>
        <w:rPr>
          <w:sz w:val="20"/>
          <w:szCs w:val="20"/>
          <w:color w:val="auto"/>
        </w:rPr>
      </w:pPr>
    </w:p>
    <w:p>
      <w:pPr>
        <w:ind w:left="300" w:hanging="295"/>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 billion of owner occupied real estate.</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chart presents the geographic distribution of the commercial and industrial portfolio at December 31, 2025:</w:t>
      </w:r>
    </w:p>
    <w:p>
      <w:pPr>
        <w:spacing w:after="0" w:line="200" w:lineRule="exact"/>
        <w:rPr>
          <w:sz w:val="20"/>
          <w:szCs w:val="20"/>
          <w:color w:val="auto"/>
        </w:rPr>
      </w:pPr>
    </w:p>
    <w:p>
      <w:pPr>
        <w:spacing w:after="0" w:line="2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01ABE6"/>
        </w:rPr>
        <w:t>C&amp;I Geographic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3839210" cy="1911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3921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52" w:name="page53"/>
    <w:bookmarkEnd w:id="52"/>
    <w:p>
      <w:pPr>
        <w:ind w:left="320"/>
        <w:spacing w:after="0"/>
        <w:rPr>
          <w:sz w:val="20"/>
          <w:szCs w:val="20"/>
          <w:color w:val="auto"/>
        </w:rPr>
      </w:pPr>
      <w:r>
        <w:rPr>
          <w:rFonts w:ascii="Times New Roman" w:cs="Times New Roman" w:eastAsia="Times New Roman" w:hAnsi="Times New Roman"/>
          <w:sz w:val="18"/>
          <w:szCs w:val="18"/>
          <w:color w:val="auto"/>
        </w:rPr>
        <w:t>The following chart presents a further breakdown of the NDFI portfolio at December 31, 2025:</w:t>
      </w:r>
    </w:p>
    <w:p>
      <w:pPr>
        <w:spacing w:after="0" w:line="200" w:lineRule="exact"/>
        <w:rPr>
          <w:sz w:val="20"/>
          <w:szCs w:val="20"/>
          <w:color w:val="auto"/>
        </w:rPr>
      </w:pPr>
    </w:p>
    <w:p>
      <w:pPr>
        <w:spacing w:after="0" w:line="20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01ABE6"/>
        </w:rPr>
        <w:t>NDFI Portfolio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3839210" cy="1911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3921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60" w:firstLine="315"/>
        <w:spacing w:after="0" w:line="256" w:lineRule="auto"/>
        <w:rPr>
          <w:sz w:val="20"/>
          <w:szCs w:val="20"/>
          <w:color w:val="auto"/>
        </w:rPr>
      </w:pPr>
      <w:r>
        <w:rPr>
          <w:rFonts w:ascii="Times New Roman" w:cs="Times New Roman" w:eastAsia="Times New Roman" w:hAnsi="Times New Roman"/>
          <w:sz w:val="18"/>
          <w:szCs w:val="18"/>
          <w:color w:val="auto"/>
        </w:rPr>
        <w:t>NDFI exposure totaled $1.5 billion, or 6% of total loans, at December 31, 2025. The "Other" category in the chart above includes primarily REITs, B2C, private equity funds, insurance and investment services. The substantial majority of the NDFI portfolio is pass rated, with two loans totaling $44 million rated non-pass.</w:t>
      </w:r>
    </w:p>
    <w:p>
      <w:pPr>
        <w:spacing w:after="0" w:line="100"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The Pinnacle portfolio consists of essential-use equipment financing to state and local governmental entities on a national basis directly and through vendor programs and alliances, with financing structures including equipment lease purchase agreements, direct (private placement) bond re-fundings and loan agreements.</w:t>
      </w:r>
    </w:p>
    <w:p>
      <w:pPr>
        <w:spacing w:after="0" w:line="113" w:lineRule="exact"/>
        <w:rPr>
          <w:sz w:val="20"/>
          <w:szCs w:val="20"/>
          <w:color w:val="auto"/>
        </w:rPr>
      </w:pPr>
    </w:p>
    <w:p>
      <w:pPr>
        <w:ind w:right="340" w:firstLine="315"/>
        <w:spacing w:after="0" w:line="268" w:lineRule="auto"/>
        <w:rPr>
          <w:sz w:val="20"/>
          <w:szCs w:val="20"/>
          <w:color w:val="auto"/>
        </w:rPr>
      </w:pPr>
      <w:r>
        <w:rPr>
          <w:rFonts w:ascii="Times New Roman" w:cs="Times New Roman" w:eastAsia="Times New Roman" w:hAnsi="Times New Roman"/>
          <w:sz w:val="18"/>
          <w:szCs w:val="18"/>
          <w:color w:val="auto"/>
        </w:rPr>
        <w:t>The franchise and equipment finance portfolio is comprised of loans originated by Bridge including (i) franchise acquisition, expansion and equipment financing facilities and (ii) transportation equipment finance. We expect balances in these segments will continue to decline.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Residential mortgages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composition of residential loans at the dates indicated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17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single family residential</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6,091,959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6,508,922</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Government insured residential</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1,071,892</w:t>
            </w:r>
          </w:p>
        </w:tc>
      </w:tr>
      <w:tr>
        <w:trPr>
          <w:trHeight w:val="242"/>
        </w:trPr>
        <w:tc>
          <w:tcPr>
            <w:tcW w:w="7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7,580,814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120" w:firstLine="315"/>
        <w:spacing w:after="0" w:line="249" w:lineRule="auto"/>
        <w:rPr>
          <w:sz w:val="20"/>
          <w:szCs w:val="20"/>
          <w:color w:val="auto"/>
        </w:rPr>
      </w:pPr>
      <w:r>
        <w:rPr>
          <w:rFonts w:ascii="Times New Roman" w:cs="Times New Roman" w:eastAsia="Times New Roman" w:hAnsi="Times New Roman"/>
          <w:sz w:val="18"/>
          <w:szCs w:val="18"/>
          <w:color w:val="auto"/>
        </w:rPr>
        <w:t>The 1-4 single family residential loan portfolio, excluding government insured residential loans, is primarily comprised of prime jumbo loans purchased through established correspondent channels. 1-4 single family residential mortgage loans are primarily closed-end, first lien jumbo mortgages for the purchase or re-finance of owner occupied property. The loans have terms ranging from 10 to 30 years, with either fixed or adjustable interest rates. At December 31, 2025, the majority of the 1-4 single family residential loan portfolio, excluding government insured residential loans, was owner-occupied, with 81% primary residence, 5% second homes and 14% investor-owned properties.</w:t>
      </w:r>
    </w:p>
    <w:p>
      <w:pPr>
        <w:spacing w:after="0" w:line="109" w:lineRule="exact"/>
        <w:rPr>
          <w:sz w:val="20"/>
          <w:szCs w:val="20"/>
          <w:color w:val="auto"/>
        </w:rPr>
      </w:pPr>
    </w:p>
    <w:p>
      <w:pPr>
        <w:ind w:right="280" w:firstLine="315"/>
        <w:spacing w:after="0" w:line="256" w:lineRule="auto"/>
        <w:rPr>
          <w:sz w:val="20"/>
          <w:szCs w:val="20"/>
          <w:color w:val="auto"/>
        </w:rPr>
      </w:pPr>
      <w:r>
        <w:rPr>
          <w:rFonts w:ascii="Times New Roman" w:cs="Times New Roman" w:eastAsia="Times New Roman" w:hAnsi="Times New Roman"/>
          <w:sz w:val="18"/>
          <w:szCs w:val="18"/>
          <w:color w:val="auto"/>
        </w:rPr>
        <w:t>The Company acquires non-performing FHA and VA insured mortgages from third parties who have exercised their right to purchase these loans out of GNMA securitizations upon default ("Buyout Loans"). Buyout Loans that re-perform, either through modification or self-cure, may be eligible for re-securitization. The balance of Buyout Loans totaled $858 million at December 31, 2025.</w:t>
      </w: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53" w:name="page54"/>
    <w:bookmarkEnd w:id="53"/>
    <w:p>
      <w:pPr>
        <w:ind w:left="320"/>
        <w:spacing w:after="0"/>
        <w:rPr>
          <w:sz w:val="20"/>
          <w:szCs w:val="20"/>
          <w:color w:val="auto"/>
        </w:rPr>
      </w:pPr>
      <w:r>
        <w:rPr>
          <w:rFonts w:ascii="Times New Roman" w:cs="Times New Roman" w:eastAsia="Times New Roman" w:hAnsi="Times New Roman"/>
          <w:sz w:val="18"/>
          <w:szCs w:val="18"/>
          <w:color w:val="auto"/>
        </w:rPr>
        <w:t>The following charts present the distribution of the 1-4 single family residential mortgage portfolio by product type at the dates indicated:</w:t>
      </w:r>
    </w:p>
    <w:p>
      <w:pPr>
        <w:spacing w:after="0" w:line="200" w:lineRule="exact"/>
        <w:rPr>
          <w:sz w:val="20"/>
          <w:szCs w:val="20"/>
          <w:color w:val="auto"/>
        </w:rPr>
      </w:pPr>
    </w:p>
    <w:p>
      <w:pPr>
        <w:spacing w:after="0" w:line="209" w:lineRule="exact"/>
        <w:rPr>
          <w:sz w:val="20"/>
          <w:szCs w:val="20"/>
          <w:color w:val="auto"/>
        </w:rPr>
      </w:pPr>
    </w:p>
    <w:p>
      <w:pPr>
        <w:ind w:left="1480"/>
        <w:spacing w:after="0"/>
        <w:tabs>
          <w:tab w:leader="none" w:pos="5400" w:val="left"/>
        </w:tabs>
        <w:rPr>
          <w:sz w:val="20"/>
          <w:szCs w:val="20"/>
          <w:color w:val="auto"/>
        </w:rPr>
      </w:pPr>
      <w:r>
        <w:rPr>
          <w:rFonts w:ascii="Times New Roman" w:cs="Times New Roman" w:eastAsia="Times New Roman" w:hAnsi="Times New Roman"/>
          <w:sz w:val="18"/>
          <w:szCs w:val="18"/>
          <w:b w:val="1"/>
          <w:bCs w:val="1"/>
          <w:color w:val="01ABE6"/>
        </w:rPr>
        <w:t>December 31, 2025</w:t>
      </w:r>
      <w:r>
        <w:rPr>
          <w:sz w:val="20"/>
          <w:szCs w:val="20"/>
          <w:color w:val="auto"/>
        </w:rPr>
        <w:tab/>
      </w:r>
      <w:r>
        <w:rPr>
          <w:rFonts w:ascii="Times New Roman" w:cs="Times New Roman" w:eastAsia="Times New Roman" w:hAnsi="Times New Roman"/>
          <w:sz w:val="16"/>
          <w:szCs w:val="16"/>
          <w:b w:val="1"/>
          <w:bCs w:val="1"/>
          <w:color w:val="01ABE6"/>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650230" cy="1827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0230" cy="182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4 to the consolidated financial statements for information about the geographic distribution of the 1-4 single family residential portfolio.</w:t>
      </w:r>
    </w:p>
    <w:p>
      <w:pPr>
        <w:spacing w:after="0" w:line="135" w:lineRule="exact"/>
        <w:rPr>
          <w:sz w:val="20"/>
          <w:szCs w:val="20"/>
          <w:color w:val="auto"/>
        </w:rPr>
      </w:pPr>
    </w:p>
    <w:p>
      <w:pPr>
        <w:ind w:right="70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 presents a breakdown of the 1-4 single family residential mortgage portfolio, excluding government insured residential loans, categorized between fixed rate loans and ARMs at the dates indicated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276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Percent of Total</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loans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3,298,268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3,557,649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ARM loans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2,793,691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2,951,273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42"/>
        </w:trPr>
        <w:tc>
          <w:tcPr>
            <w:tcW w:w="5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6,091,959</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6,508,922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Maturities</w:t>
      </w:r>
    </w:p>
    <w:p>
      <w:pPr>
        <w:spacing w:after="0" w:line="152" w:lineRule="exact"/>
        <w:rPr>
          <w:sz w:val="20"/>
          <w:szCs w:val="20"/>
          <w:color w:val="auto"/>
        </w:rPr>
      </w:pPr>
    </w:p>
    <w:p>
      <w:pPr>
        <w:ind w:right="160" w:firstLine="315"/>
        <w:spacing w:after="0" w:line="252" w:lineRule="auto"/>
        <w:rPr>
          <w:sz w:val="20"/>
          <w:szCs w:val="20"/>
          <w:color w:val="auto"/>
        </w:rPr>
      </w:pPr>
      <w:r>
        <w:rPr>
          <w:rFonts w:ascii="Times New Roman" w:cs="Times New Roman" w:eastAsia="Times New Roman" w:hAnsi="Times New Roman"/>
          <w:sz w:val="18"/>
          <w:szCs w:val="18"/>
          <w:color w:val="auto"/>
        </w:rPr>
        <w:t>The following table sets forth, as of December 31, 2025, the maturity distribution of our loan portfolio by category, excluding government insured residential loans. Commercial loans are presented by contractual maturity, including scheduled payments for amortizing loans but not incorporating estimated prepayments. Contractual maturities of residential loans have been adjusted for an estimated rate of voluntary prepayments, based on historical trends, current interest rates, types of loans and refinance patterns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After One Through</w:t>
            </w:r>
          </w:p>
        </w:tc>
        <w:tc>
          <w:tcPr>
            <w:tcW w:w="16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After Five Years</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Through Fifteen</w:t>
            </w:r>
          </w:p>
        </w:tc>
        <w:tc>
          <w:tcPr>
            <w:tcW w:w="14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After Fifteen Years</w:t>
            </w:r>
          </w:p>
        </w:tc>
        <w:tc>
          <w:tcPr>
            <w:tcW w:w="300" w:type="dxa"/>
            <w:vAlign w:val="bottom"/>
          </w:tcPr>
          <w:p>
            <w:pPr>
              <w:spacing w:after="0"/>
              <w:rPr>
                <w:sz w:val="12"/>
                <w:szCs w:val="12"/>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Five Years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14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Non-owner occupied commercial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2,022,362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3,737,454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342,625</w:t>
            </w:r>
          </w:p>
        </w:tc>
        <w:tc>
          <w:tcPr>
            <w:tcW w:w="10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6,105,207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and land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7,008,903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Pinnacle - municipal finance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and equipment finance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warehouse lending</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5,164,113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10,282,156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1,798,274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17,290,707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796,500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2,395,135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2,115,694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6,091,959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5,960,613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12,677,291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3,913,968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23,382,666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4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8"/>
          <w:szCs w:val="18"/>
          <w:color w:val="auto"/>
        </w:rPr>
        <w:t>The following table shows the distribution of those loans that mature in more than one year between fixed and adjustable interest rate loans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6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Interest Rate Type</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vMerge w:val="restart"/>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6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Adjustable</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5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Non-owner occupied commercial real estate</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687,197</w:t>
            </w:r>
          </w:p>
        </w:tc>
        <w:tc>
          <w:tcPr>
            <w:tcW w:w="10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3,395,648</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4,082,845</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and land</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417,677</w:t>
            </w:r>
          </w:p>
        </w:tc>
        <w:tc>
          <w:tcPr>
            <w:tcW w:w="0" w:type="dxa"/>
            <w:vAlign w:val="bottom"/>
          </w:tcPr>
          <w:p>
            <w:pPr>
              <w:spacing w:after="0"/>
              <w:rPr>
                <w:sz w:val="1"/>
                <w:szCs w:val="1"/>
                <w:color w:val="auto"/>
              </w:rPr>
            </w:pPr>
          </w:p>
        </w:tc>
      </w:tr>
      <w:tr>
        <w:trPr>
          <w:trHeight w:val="223"/>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1,011,742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1,900,569</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622,326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4,585,462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5,207,788</w:t>
            </w:r>
          </w:p>
        </w:tc>
        <w:tc>
          <w:tcPr>
            <w:tcW w:w="0" w:type="dxa"/>
            <w:vAlign w:val="bottom"/>
          </w:tcPr>
          <w:p>
            <w:pPr>
              <w:spacing w:after="0"/>
              <w:rPr>
                <w:sz w:val="1"/>
                <w:szCs w:val="1"/>
                <w:color w:val="auto"/>
              </w:rPr>
            </w:pPr>
          </w:p>
        </w:tc>
      </w:tr>
      <w:tr>
        <w:trPr>
          <w:trHeight w:val="223"/>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Pinnacle - municipal finance</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453,745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453,745</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and equipment finance</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63,372</w:t>
            </w:r>
          </w:p>
        </w:tc>
        <w:tc>
          <w:tcPr>
            <w:tcW w:w="0" w:type="dxa"/>
            <w:vAlign w:val="bottom"/>
          </w:tcPr>
          <w:p>
            <w:pPr>
              <w:spacing w:after="0"/>
              <w:rPr>
                <w:sz w:val="1"/>
                <w:szCs w:val="1"/>
                <w:color w:val="auto"/>
              </w:rPr>
            </w:pPr>
          </w:p>
        </w:tc>
      </w:tr>
      <w:tr>
        <w:trPr>
          <w:trHeight w:val="223"/>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warehouse lending</w:t>
            </w:r>
          </w:p>
        </w:tc>
        <w:tc>
          <w:tcPr>
            <w:tcW w:w="54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7"/>
        </w:trPr>
        <w:tc>
          <w:tcPr>
            <w:tcW w:w="46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2,792,953</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9,333,641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12,126,594</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3,007,809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2,287,650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5,295,459</w:t>
            </w:r>
          </w:p>
        </w:tc>
        <w:tc>
          <w:tcPr>
            <w:tcW w:w="0" w:type="dxa"/>
            <w:vAlign w:val="bottom"/>
          </w:tcPr>
          <w:p>
            <w:pPr>
              <w:spacing w:after="0"/>
              <w:rPr>
                <w:sz w:val="1"/>
                <w:szCs w:val="1"/>
                <w:color w:val="auto"/>
              </w:rPr>
            </w:pPr>
          </w:p>
        </w:tc>
      </w:tr>
      <w:tr>
        <w:trPr>
          <w:trHeight w:val="242"/>
        </w:trPr>
        <w:tc>
          <w:tcPr>
            <w:tcW w:w="46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5,800,762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11,621,291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17,422,053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80" w:firstLine="315"/>
        <w:spacing w:after="0" w:line="268" w:lineRule="auto"/>
        <w:rPr>
          <w:sz w:val="20"/>
          <w:szCs w:val="20"/>
          <w:color w:val="auto"/>
        </w:rPr>
      </w:pPr>
      <w:r>
        <w:rPr>
          <w:rFonts w:ascii="Times New Roman" w:cs="Times New Roman" w:eastAsia="Times New Roman" w:hAnsi="Times New Roman"/>
          <w:sz w:val="18"/>
          <w:szCs w:val="18"/>
          <w:color w:val="auto"/>
        </w:rPr>
        <w:t>Excluded from the tables above are government insured residential loans. Resolution of these loans is generally accomplished through the re-securitization and sale of the loans after they re-perform, either through modification or self-cure, or through pursuit of the applicable guarantee.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equipment, net</w:t>
      </w:r>
    </w:p>
    <w:p>
      <w:pPr>
        <w:spacing w:after="0" w:line="152" w:lineRule="exact"/>
        <w:rPr>
          <w:sz w:val="20"/>
          <w:szCs w:val="20"/>
          <w:color w:val="auto"/>
        </w:rPr>
      </w:pPr>
    </w:p>
    <w:p>
      <w:pPr>
        <w:ind w:right="100" w:firstLine="315"/>
        <w:spacing w:after="0" w:line="256" w:lineRule="auto"/>
        <w:rPr>
          <w:sz w:val="20"/>
          <w:szCs w:val="20"/>
          <w:color w:val="auto"/>
        </w:rPr>
      </w:pPr>
      <w:r>
        <w:rPr>
          <w:rFonts w:ascii="Times New Roman" w:cs="Times New Roman" w:eastAsia="Times New Roman" w:hAnsi="Times New Roman"/>
          <w:sz w:val="18"/>
          <w:szCs w:val="18"/>
          <w:color w:val="auto"/>
        </w:rPr>
        <w:t>Operating lease equipment, net totaled $171 million and $224 million at December 31, 2025 and 2024, respectively, consisting primarily of railcars and other transportation equipment. We expect the balance of operating lease equipment to continue to decline as this product offering is no longer considered core to our business strategy.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Commercial Loans</w:t>
      </w:r>
    </w:p>
    <w:p>
      <w:pPr>
        <w:spacing w:after="0" w:line="152" w:lineRule="exact"/>
        <w:rPr>
          <w:sz w:val="20"/>
          <w:szCs w:val="20"/>
          <w:color w:val="auto"/>
        </w:rPr>
      </w:pPr>
    </w:p>
    <w:p>
      <w:pPr>
        <w:ind w:right="60" w:firstLine="315"/>
        <w:spacing w:after="0" w:line="248" w:lineRule="auto"/>
        <w:rPr>
          <w:sz w:val="20"/>
          <w:szCs w:val="20"/>
          <w:color w:val="auto"/>
        </w:rPr>
      </w:pPr>
      <w:r>
        <w:rPr>
          <w:rFonts w:ascii="Times New Roman" w:cs="Times New Roman" w:eastAsia="Times New Roman" w:hAnsi="Times New Roman"/>
          <w:sz w:val="18"/>
          <w:szCs w:val="18"/>
          <w:color w:val="auto"/>
        </w:rPr>
        <w:t>We have a robust credit risk management framework, an experienced team to lead the workout and recovery process for the commercial and commercial real estate portfolios and a dedicated internal credit review function. Loan performance is monitored by our credit administration, portfolio management and workout and recovery departments. Risk ratings are updated continuously; generally, commercial relationships with balances greater than $3 million, are re-evaluated at least annually and more frequently if circumstances indicate that a change in risk rating may be warranted. Homogenous groups of smaller balance commercial loans may be monitored collectively. The credit quality and risk rating of commercial loans as well as our underwriting and portfolio management practices are regularly reviewed by our internal independent credit review department.</w:t>
      </w:r>
    </w:p>
    <w:p>
      <w:pPr>
        <w:spacing w:after="0" w:line="110" w:lineRule="exact"/>
        <w:rPr>
          <w:sz w:val="20"/>
          <w:szCs w:val="20"/>
          <w:color w:val="auto"/>
        </w:rPr>
      </w:pPr>
    </w:p>
    <w:p>
      <w:pPr>
        <w:ind w:right="40" w:firstLine="315"/>
        <w:spacing w:after="0" w:line="246" w:lineRule="auto"/>
        <w:rPr>
          <w:sz w:val="20"/>
          <w:szCs w:val="20"/>
          <w:color w:val="auto"/>
        </w:rPr>
      </w:pPr>
      <w:r>
        <w:rPr>
          <w:rFonts w:ascii="Times New Roman" w:cs="Times New Roman" w:eastAsia="Times New Roman" w:hAnsi="Times New Roman"/>
          <w:sz w:val="18"/>
          <w:szCs w:val="18"/>
          <w:color w:val="auto"/>
        </w:rPr>
        <w:t>We believe internal risk rating is the best indicator of the credit quality of commercial loans. The Company utilizes a 16-grade internal asset risk classification system as part of its efforts to monitor and maintain commercial asset quality. The special mention rating is considered a transitional rating for loans exhibiting potential credit weaknesses that could result in deterioration of repayment prospects at some future date if not checked or corrected and that deserve management’s close attention. These borrowers may exhibit declining cash flows or revenues or increasing leverage. Loans with well-defined credit weaknesses that may result in a loss if the deficiencies are not corrected are assigned a risk rating of substandard. These borrowers may exhibit payment defaults, inadequate cash flows from current operations, operating losses, increasing balance sheet leverage, project cost overruns, unreasonable construction delays, exhausted interest reserves, declining collateral values, frequent overdrafts or past due real estate taxes. Loans with weaknesses so severe that collection in full is highly questionable or improbable, but because of certain reasonably specific pending factors have not been charged off, are assigned an internal risk rating of doubtful.</w:t>
      </w:r>
    </w:p>
    <w:p>
      <w:pPr>
        <w:spacing w:after="0" w:line="200" w:lineRule="exact"/>
        <w:rPr>
          <w:sz w:val="20"/>
          <w:szCs w:val="20"/>
          <w:color w:val="auto"/>
        </w:rPr>
      </w:pPr>
    </w:p>
    <w:p>
      <w:pPr>
        <w:spacing w:after="0" w:line="3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55" w:name="page56"/>
    <w:bookmarkEnd w:id="55"/>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commercial credit exposure, based on internal risk rating, at the dates indicated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5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CRE</w:t>
            </w:r>
          </w:p>
        </w:tc>
        <w:tc>
          <w:tcPr>
            <w:tcW w:w="12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128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Percent of</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CRE</w:t>
            </w:r>
          </w:p>
        </w:tc>
        <w:tc>
          <w:tcPr>
            <w:tcW w:w="12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1280" w:type="dxa"/>
            <w:vAlign w:val="bottom"/>
            <w:tcBorders>
              <w:top w:val="single" w:sz="8" w:color="auto"/>
            </w:tcBorders>
          </w:tcPr>
          <w:p>
            <w:pPr>
              <w:jc w:val="right"/>
              <w:ind w:right="263"/>
              <w:spacing w:after="0" w:line="127"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Commercial Loans</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Commercial Loans</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w:t>
            </w: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6,145,173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16,092,180</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5,426,429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15,333,411</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91.7 %</w:t>
            </w:r>
          </w:p>
        </w:tc>
        <w:tc>
          <w:tcPr>
            <w:tcW w:w="0" w:type="dxa"/>
            <w:vAlign w:val="bottom"/>
          </w:tcPr>
          <w:p>
            <w:pPr>
              <w:spacing w:after="0"/>
              <w:rPr>
                <w:sz w:val="1"/>
                <w:szCs w:val="1"/>
                <w:color w:val="auto"/>
              </w:rPr>
            </w:pPr>
          </w:p>
        </w:tc>
      </w:tr>
      <w:tr>
        <w:trPr>
          <w:trHeight w:val="208"/>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mention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175,009</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58,771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262,387</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Substandard accruing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674,368</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633,614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894,754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08"/>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Substandard non-accruing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300,903</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95,378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219,758</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Doubtful</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48,247</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6,810,871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17,290,707</w:t>
            </w:r>
          </w:p>
        </w:tc>
        <w:tc>
          <w:tcPr>
            <w:tcW w:w="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6,214,192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16,717,166</w:t>
            </w: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180" w:firstLine="394"/>
        <w:spacing w:after="0" w:line="268" w:lineRule="auto"/>
        <w:rPr>
          <w:sz w:val="20"/>
          <w:szCs w:val="20"/>
          <w:color w:val="auto"/>
        </w:rPr>
      </w:pPr>
      <w:r>
        <w:rPr>
          <w:rFonts w:ascii="Times New Roman" w:cs="Times New Roman" w:eastAsia="Times New Roman" w:hAnsi="Times New Roman"/>
          <w:sz w:val="18"/>
          <w:szCs w:val="18"/>
          <w:color w:val="auto"/>
        </w:rPr>
        <w:t>Total criticized classified loans declined by $185 million for the year ended December 31, 2025, while total criticized and classified CRE loans declined by $122 million for the same period.</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provides additional information about special mention and substandard accruing loans at the dates indicated (dollars in thousands).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these loans are performing. Non-accrual loans are discussed further in the section entitled "Non-performing Assets"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212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3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 of Loan</w:t>
            </w:r>
          </w:p>
        </w:tc>
        <w:tc>
          <w:tcPr>
            <w:tcW w:w="10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99"/>
              <w:spacing w:after="0" w:line="125" w:lineRule="exact"/>
              <w:rPr>
                <w:sz w:val="20"/>
                <w:szCs w:val="20"/>
                <w:color w:val="auto"/>
              </w:rPr>
            </w:pPr>
            <w:r>
              <w:rPr>
                <w:rFonts w:ascii="Times New Roman" w:cs="Times New Roman" w:eastAsia="Times New Roman" w:hAnsi="Times New Roman"/>
                <w:sz w:val="14"/>
                <w:szCs w:val="14"/>
                <w:b w:val="1"/>
                <w:bCs w:val="1"/>
                <w:color w:val="auto"/>
              </w:rPr>
              <w:t>% of Loan</w:t>
            </w: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mention:</w:t>
            </w:r>
          </w:p>
        </w:tc>
        <w:tc>
          <w:tcPr>
            <w:tcW w:w="20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Hotel</w:t>
            </w:r>
          </w:p>
        </w:tc>
        <w:tc>
          <w:tcPr>
            <w:tcW w:w="23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Construction and land</w:t>
            </w:r>
          </w:p>
        </w:tc>
        <w:tc>
          <w:tcPr>
            <w:tcW w:w="2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7"/>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7"/>
        </w:trPr>
        <w:tc>
          <w:tcPr>
            <w:tcW w:w="4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175,009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262,387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Substandard accruing:</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Hotel</w:t>
            </w:r>
          </w:p>
        </w:tc>
        <w:tc>
          <w:tcPr>
            <w:tcW w:w="232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3"/>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Multi-family</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Office</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235,967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23"/>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 and land</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474,592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633,614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7"/>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112,883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Franchise and equipment finance</w:t>
            </w:r>
          </w:p>
        </w:tc>
        <w:tc>
          <w:tcPr>
            <w:tcW w:w="2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22,686</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42"/>
        </w:trPr>
        <w:tc>
          <w:tcPr>
            <w:tcW w:w="43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674,368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894,754</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43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9A9A9A"/>
            </w:tcBorders>
          </w:tcPr>
          <w:p>
            <w:pPr>
              <w:spacing w:after="0"/>
              <w:rPr>
                <w:sz w:val="22"/>
                <w:szCs w:val="22"/>
                <w:color w:val="auto"/>
              </w:rPr>
            </w:pPr>
          </w:p>
        </w:tc>
        <w:tc>
          <w:tcPr>
            <w:tcW w:w="202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8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8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56" w:name="page57"/>
    <w:bookmarkEnd w:id="56"/>
    <w:p>
      <w:pPr>
        <w:ind w:left="315"/>
        <w:spacing w:after="0"/>
        <w:rPr>
          <w:sz w:val="20"/>
          <w:szCs w:val="20"/>
          <w:color w:val="auto"/>
        </w:rPr>
      </w:pPr>
      <w:r>
        <w:rPr>
          <w:rFonts w:ascii="Times New Roman" w:cs="Times New Roman" w:eastAsia="Times New Roman" w:hAnsi="Times New Roman"/>
          <w:sz w:val="16"/>
          <w:szCs w:val="16"/>
          <w:color w:val="auto"/>
        </w:rPr>
        <w:t>The following graphs present trends in criticized and classified loans by segment over the periods indicated (in millions):</w:t>
      </w:r>
    </w:p>
    <w:p>
      <w:pPr>
        <w:spacing w:after="0" w:line="245" w:lineRule="exact"/>
        <w:rPr>
          <w:sz w:val="20"/>
          <w:szCs w:val="20"/>
          <w:color w:val="auto"/>
        </w:rPr>
      </w:pPr>
    </w:p>
    <w:p>
      <w:pPr>
        <w:ind w:left="1395"/>
        <w:spacing w:after="0"/>
        <w:tabs>
          <w:tab w:leader="none" w:pos="5614" w:val="left"/>
        </w:tabs>
        <w:rPr>
          <w:sz w:val="20"/>
          <w:szCs w:val="20"/>
          <w:color w:val="auto"/>
        </w:rPr>
      </w:pPr>
      <w:r>
        <w:rPr>
          <w:rFonts w:ascii="Times New Roman" w:cs="Times New Roman" w:eastAsia="Times New Roman" w:hAnsi="Times New Roman"/>
          <w:sz w:val="18"/>
          <w:szCs w:val="18"/>
          <w:b w:val="1"/>
          <w:bCs w:val="1"/>
          <w:color w:val="01ABE6"/>
        </w:rPr>
        <w:t>Special Mention</w:t>
      </w:r>
      <w:r>
        <w:rPr>
          <w:rFonts w:ascii="Times New Roman" w:cs="Times New Roman" w:eastAsia="Times New Roman" w:hAnsi="Times New Roman"/>
          <w:sz w:val="22"/>
          <w:szCs w:val="22"/>
          <w:b w:val="1"/>
          <w:bCs w:val="1"/>
          <w:color w:val="01ABE6"/>
          <w:vertAlign w:val="superscript"/>
        </w:rPr>
        <w:t>(1)(2)</w:t>
      </w:r>
      <w:r>
        <w:rPr>
          <w:sz w:val="20"/>
          <w:szCs w:val="20"/>
          <w:color w:val="auto"/>
        </w:rPr>
        <w:tab/>
      </w:r>
      <w:r>
        <w:rPr>
          <w:rFonts w:ascii="Times New Roman" w:cs="Times New Roman" w:eastAsia="Times New Roman" w:hAnsi="Times New Roman"/>
          <w:sz w:val="16"/>
          <w:szCs w:val="16"/>
          <w:b w:val="1"/>
          <w:bCs w:val="1"/>
          <w:color w:val="01ABE6"/>
        </w:rPr>
        <w:t>Substandard Accruing</w:t>
      </w:r>
      <w:r>
        <w:rPr>
          <w:rFonts w:ascii="Times New Roman" w:cs="Times New Roman" w:eastAsia="Times New Roman" w:hAnsi="Times New Roman"/>
          <w:sz w:val="20"/>
          <w:szCs w:val="20"/>
          <w:b w:val="1"/>
          <w:bCs w:val="1"/>
          <w:color w:val="01ABE6"/>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5558790" cy="2153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58790" cy="215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35"/>
        <w:spacing w:after="0"/>
        <w:tabs>
          <w:tab w:leader="none" w:pos="5334" w:val="left"/>
        </w:tabs>
        <w:rPr>
          <w:sz w:val="20"/>
          <w:szCs w:val="20"/>
          <w:color w:val="auto"/>
        </w:rPr>
      </w:pPr>
      <w:r>
        <w:rPr>
          <w:rFonts w:ascii="Times New Roman" w:cs="Times New Roman" w:eastAsia="Times New Roman" w:hAnsi="Times New Roman"/>
          <w:sz w:val="18"/>
          <w:szCs w:val="18"/>
          <w:b w:val="1"/>
          <w:bCs w:val="1"/>
          <w:color w:val="01ABE6"/>
        </w:rPr>
        <w:t>Substandard Non-Accruing and Doubtful</w:t>
      </w:r>
      <w:r>
        <w:rPr>
          <w:rFonts w:ascii="Times New Roman" w:cs="Times New Roman" w:eastAsia="Times New Roman" w:hAnsi="Times New Roman"/>
          <w:sz w:val="22"/>
          <w:szCs w:val="22"/>
          <w:b w:val="1"/>
          <w:bCs w:val="1"/>
          <w:color w:val="01ABE6"/>
          <w:vertAlign w:val="superscript"/>
        </w:rPr>
        <w:t>(1)(2)</w:t>
      </w:r>
      <w:r>
        <w:rPr>
          <w:sz w:val="20"/>
          <w:szCs w:val="20"/>
          <w:color w:val="auto"/>
        </w:rPr>
        <w:tab/>
      </w:r>
      <w:r>
        <w:rPr>
          <w:rFonts w:ascii="Times New Roman" w:cs="Times New Roman" w:eastAsia="Times New Roman" w:hAnsi="Times New Roman"/>
          <w:sz w:val="16"/>
          <w:szCs w:val="16"/>
          <w:b w:val="1"/>
          <w:bCs w:val="1"/>
          <w:color w:val="01ABE6"/>
        </w:rPr>
        <w:t>Total Criticized and Classified</w:t>
      </w:r>
      <w:r>
        <w:rPr>
          <w:rFonts w:ascii="Times New Roman" w:cs="Times New Roman" w:eastAsia="Times New Roman" w:hAnsi="Times New Roman"/>
          <w:sz w:val="20"/>
          <w:szCs w:val="20"/>
          <w:b w:val="1"/>
          <w:bCs w:val="1"/>
          <w:color w:val="01ABE6"/>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5558790" cy="2186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58790"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5" w:hanging="315"/>
        <w:spacing w:after="0"/>
        <w:tabs>
          <w:tab w:leader="none" w:pos="31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SBA</w:t>
      </w:r>
    </w:p>
    <w:p>
      <w:pPr>
        <w:spacing w:after="0" w:line="21" w:lineRule="exact"/>
        <w:rPr>
          <w:rFonts w:ascii="Times New Roman" w:cs="Times New Roman" w:eastAsia="Times New Roman" w:hAnsi="Times New Roman"/>
          <w:sz w:val="14"/>
          <w:szCs w:val="14"/>
          <w:color w:val="auto"/>
        </w:rPr>
      </w:pPr>
    </w:p>
    <w:p>
      <w:pPr>
        <w:ind w:left="315" w:hanging="315"/>
        <w:spacing w:after="0"/>
        <w:tabs>
          <w:tab w:leader="none" w:pos="31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includes C&amp;I, and franchise and equipment finance.</w:t>
      </w:r>
    </w:p>
    <w:p>
      <w:pPr>
        <w:spacing w:after="0" w:line="396" w:lineRule="exact"/>
        <w:rPr>
          <w:sz w:val="20"/>
          <w:szCs w:val="20"/>
          <w:color w:val="auto"/>
        </w:rPr>
      </w:pPr>
    </w:p>
    <w:p>
      <w:pPr>
        <w:ind w:left="5695"/>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4"/>
          </w:cols>
          <w:pgMar w:left="325" w:top="1146" w:right="1440" w:bottom="1440" w:gutter="0" w:footer="0" w:header="0"/>
        </w:sectPr>
      </w:pPr>
    </w:p>
    <w:bookmarkStart w:id="57" w:name="page58"/>
    <w:bookmarkEnd w:id="57"/>
    <w:p>
      <w:pPr>
        <w:ind w:left="320"/>
        <w:spacing w:after="0"/>
        <w:rPr>
          <w:sz w:val="20"/>
          <w:szCs w:val="20"/>
          <w:color w:val="auto"/>
        </w:rPr>
      </w:pPr>
      <w:r>
        <w:rPr>
          <w:rFonts w:ascii="Times New Roman" w:cs="Times New Roman" w:eastAsia="Times New Roman" w:hAnsi="Times New Roman"/>
          <w:sz w:val="18"/>
          <w:szCs w:val="18"/>
          <w:color w:val="auto"/>
        </w:rPr>
        <w:t>The following charts present criticized and classified CRE loans by property type at the dates indicated (in millions):</w:t>
      </w:r>
    </w:p>
    <w:p>
      <w:pPr>
        <w:spacing w:after="0" w:line="200" w:lineRule="exact"/>
        <w:rPr>
          <w:sz w:val="20"/>
          <w:szCs w:val="20"/>
          <w:color w:val="auto"/>
        </w:rPr>
      </w:pPr>
    </w:p>
    <w:p>
      <w:pPr>
        <w:spacing w:after="0" w:line="209" w:lineRule="exact"/>
        <w:rPr>
          <w:sz w:val="20"/>
          <w:szCs w:val="20"/>
          <w:color w:val="auto"/>
        </w:rPr>
      </w:pPr>
    </w:p>
    <w:p>
      <w:pPr>
        <w:ind w:left="1520"/>
        <w:spacing w:after="0"/>
        <w:tabs>
          <w:tab w:leader="none" w:pos="5640" w:val="left"/>
        </w:tabs>
        <w:rPr>
          <w:sz w:val="20"/>
          <w:szCs w:val="20"/>
          <w:color w:val="auto"/>
        </w:rPr>
      </w:pPr>
      <w:r>
        <w:rPr>
          <w:rFonts w:ascii="Times New Roman" w:cs="Times New Roman" w:eastAsia="Times New Roman" w:hAnsi="Times New Roman"/>
          <w:sz w:val="18"/>
          <w:szCs w:val="18"/>
          <w:b w:val="1"/>
          <w:bCs w:val="1"/>
          <w:color w:val="01ABE6"/>
        </w:rPr>
        <w:t>December 31, 2025</w:t>
      </w:r>
      <w:r>
        <w:rPr>
          <w:sz w:val="20"/>
          <w:szCs w:val="20"/>
          <w:color w:val="auto"/>
        </w:rPr>
        <w:tab/>
      </w:r>
      <w:r>
        <w:rPr>
          <w:rFonts w:ascii="Times New Roman" w:cs="Times New Roman" w:eastAsia="Times New Roman" w:hAnsi="Times New Roman"/>
          <w:sz w:val="16"/>
          <w:szCs w:val="16"/>
          <w:b w:val="1"/>
          <w:bCs w:val="1"/>
          <w:color w:val="01ABE6"/>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683885" cy="25203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8388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hanging="315"/>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$58 million and $85 million of office exposure at December 31, 2025 and 2024, respectively.</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graphs present delinquency trends by segment over the periods indicated (in millions):</w:t>
      </w:r>
    </w:p>
    <w:p>
      <w:pPr>
        <w:spacing w:after="0" w:line="222" w:lineRule="exact"/>
        <w:rPr>
          <w:sz w:val="20"/>
          <w:szCs w:val="20"/>
          <w:color w:val="auto"/>
        </w:rPr>
      </w:pPr>
    </w:p>
    <w:p>
      <w:pPr>
        <w:ind w:left="1040"/>
        <w:spacing w:after="0"/>
        <w:tabs>
          <w:tab w:leader="none" w:pos="4340" w:val="left"/>
        </w:tabs>
        <w:rPr>
          <w:sz w:val="20"/>
          <w:szCs w:val="20"/>
          <w:color w:val="auto"/>
        </w:rPr>
      </w:pPr>
      <w:r>
        <w:rPr>
          <w:rFonts w:ascii="Times New Roman" w:cs="Times New Roman" w:eastAsia="Times New Roman" w:hAnsi="Times New Roman"/>
          <w:sz w:val="18"/>
          <w:szCs w:val="18"/>
          <w:b w:val="1"/>
          <w:bCs w:val="1"/>
          <w:color w:val="01ABE6"/>
        </w:rPr>
        <w:t>Commercial Real Estate</w:t>
      </w:r>
      <w:r>
        <w:rPr>
          <w:sz w:val="20"/>
          <w:szCs w:val="20"/>
          <w:color w:val="auto"/>
        </w:rPr>
        <w:tab/>
      </w:r>
      <w:r>
        <w:rPr>
          <w:rFonts w:ascii="Times New Roman" w:cs="Times New Roman" w:eastAsia="Times New Roman" w:hAnsi="Times New Roman"/>
          <w:sz w:val="17"/>
          <w:szCs w:val="17"/>
          <w:b w:val="1"/>
          <w:bCs w:val="1"/>
          <w:color w:val="01ABE6"/>
        </w:rPr>
        <w:t>Commercial and Industrial</w:t>
      </w:r>
      <w:r>
        <w:rPr>
          <w:rFonts w:ascii="Times New Roman" w:cs="Times New Roman" w:eastAsia="Times New Roman" w:hAnsi="Times New Roman"/>
          <w:sz w:val="21"/>
          <w:szCs w:val="21"/>
          <w:b w:val="1"/>
          <w:bCs w:val="1"/>
          <w:color w:val="01ABE6"/>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5633720" cy="19862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33720" cy="19862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2190115</wp:posOffset>
            </wp:positionV>
            <wp:extent cx="13773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hanging="315"/>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owner occupied real estate.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Residential Loans</w:t>
      </w:r>
    </w:p>
    <w:p>
      <w:pPr>
        <w:spacing w:after="0" w:line="152" w:lineRule="exact"/>
        <w:rPr>
          <w:sz w:val="20"/>
          <w:szCs w:val="20"/>
          <w:color w:val="auto"/>
        </w:rPr>
      </w:pPr>
    </w:p>
    <w:p>
      <w:pPr>
        <w:ind w:firstLine="315"/>
        <w:spacing w:after="0" w:line="252" w:lineRule="auto"/>
        <w:rPr>
          <w:sz w:val="20"/>
          <w:szCs w:val="20"/>
          <w:color w:val="auto"/>
        </w:rPr>
      </w:pPr>
      <w:r>
        <w:rPr>
          <w:rFonts w:ascii="Times New Roman" w:cs="Times New Roman" w:eastAsia="Times New Roman" w:hAnsi="Times New Roman"/>
          <w:sz w:val="18"/>
          <w:szCs w:val="18"/>
          <w:color w:val="auto"/>
        </w:rPr>
        <w:t>Excluding government insured loans, our residential portfolio consists largely of performing jumbo mortgage loans purchased through established correspondent channels with FICO scores above 720, full documentation, current LTVs of 80% or less and are primarily owner-occupied. Loans with LTVs higher than 80% may be extended to selected credit-worthy borrowers. We perform due diligence on the purchased loans for credit, compliance, counterparty, payment history and property valuation.</w:t>
      </w:r>
    </w:p>
    <w:p>
      <w:pPr>
        <w:spacing w:after="0" w:line="103" w:lineRule="exact"/>
        <w:rPr>
          <w:sz w:val="20"/>
          <w:szCs w:val="20"/>
          <w:color w:val="auto"/>
        </w:rPr>
      </w:pPr>
    </w:p>
    <w:p>
      <w:pPr>
        <w:ind w:right="80" w:firstLine="315"/>
        <w:spacing w:after="0" w:line="252" w:lineRule="auto"/>
        <w:rPr>
          <w:sz w:val="20"/>
          <w:szCs w:val="20"/>
          <w:color w:val="auto"/>
        </w:rPr>
      </w:pPr>
      <w:r>
        <w:rPr>
          <w:rFonts w:ascii="Times New Roman" w:cs="Times New Roman" w:eastAsia="Times New Roman" w:hAnsi="Times New Roman"/>
          <w:sz w:val="18"/>
          <w:szCs w:val="18"/>
          <w:color w:val="auto"/>
        </w:rPr>
        <w:t>We have a dedicated residential credit risk management function, and the residential portfolio is monitored by our internal credit review function. Residential mortgage loans are not individually risk rated. Delinquency status is the primary measure we use to monitor the credit quality of these loans. We also consider original LTV and most recently available FICO score to be significant indicators of credit quality for the 1-4 single family residential portfolio, excluding government insured residential loans.</w:t>
      </w:r>
    </w:p>
    <w:p>
      <w:pPr>
        <w:sectPr>
          <w:pgSz w:w="11900" w:h="16838" w:orient="portrait"/>
          <w:cols w:equalWidth="0" w:num="1">
            <w:col w:w="11080"/>
          </w:cols>
          <w:pgMar w:left="320" w:top="1146" w:right="49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173990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146" w:right="499" w:bottom="1440" w:gutter="0" w:footer="0" w:header="0"/>
          <w:type w:val="continuous"/>
        </w:sectPr>
      </w:pPr>
    </w:p>
    <w:bookmarkStart w:id="58" w:name="page59"/>
    <w:bookmarkEnd w:id="58"/>
    <w:p>
      <w:pPr>
        <w:ind w:firstLine="315"/>
        <w:spacing w:after="0" w:line="268" w:lineRule="auto"/>
        <w:rPr>
          <w:sz w:val="20"/>
          <w:szCs w:val="20"/>
          <w:color w:val="auto"/>
        </w:rPr>
      </w:pPr>
      <w:r>
        <w:rPr>
          <w:rFonts w:ascii="Times New Roman" w:cs="Times New Roman" w:eastAsia="Times New Roman" w:hAnsi="Times New Roman"/>
          <w:sz w:val="18"/>
          <w:szCs w:val="18"/>
          <w:color w:val="auto"/>
        </w:rPr>
        <w:t>The following charts present information about the 1-4 single family residential portfolio, excluding government insured loans, by FICO distribution, LTV distribution and vintage at December 31, 2025:</w:t>
      </w:r>
    </w:p>
    <w:p>
      <w:pPr>
        <w:spacing w:after="0" w:line="364" w:lineRule="exact"/>
        <w:rPr>
          <w:sz w:val="20"/>
          <w:szCs w:val="20"/>
          <w:color w:val="auto"/>
        </w:rPr>
      </w:pPr>
    </w:p>
    <w:p>
      <w:pPr>
        <w:ind w:left="440"/>
        <w:spacing w:after="0"/>
        <w:tabs>
          <w:tab w:leader="none" w:pos="3260" w:val="left"/>
          <w:tab w:leader="none" w:pos="6400" w:val="left"/>
        </w:tabs>
        <w:rPr>
          <w:sz w:val="20"/>
          <w:szCs w:val="20"/>
          <w:color w:val="auto"/>
        </w:rPr>
      </w:pPr>
      <w:r>
        <w:rPr>
          <w:rFonts w:ascii="Times New Roman" w:cs="Times New Roman" w:eastAsia="Times New Roman" w:hAnsi="Times New Roman"/>
          <w:sz w:val="18"/>
          <w:szCs w:val="18"/>
          <w:b w:val="1"/>
          <w:bCs w:val="1"/>
          <w:color w:val="01ABE6"/>
        </w:rPr>
        <w:t>FICO Distribution</w:t>
      </w:r>
      <w:r>
        <w:rPr>
          <w:sz w:val="20"/>
          <w:szCs w:val="20"/>
          <w:color w:val="auto"/>
        </w:rPr>
        <w:tab/>
      </w:r>
      <w:r>
        <w:rPr>
          <w:rFonts w:ascii="Times New Roman" w:cs="Times New Roman" w:eastAsia="Times New Roman" w:hAnsi="Times New Roman"/>
          <w:sz w:val="18"/>
          <w:szCs w:val="18"/>
          <w:b w:val="1"/>
          <w:bCs w:val="1"/>
          <w:color w:val="01ABE6"/>
        </w:rPr>
        <w:t>LTV Distribution</w:t>
      </w:r>
      <w:r>
        <w:rPr>
          <w:sz w:val="20"/>
          <w:szCs w:val="20"/>
          <w:color w:val="auto"/>
        </w:rPr>
        <w:tab/>
      </w:r>
      <w:r>
        <w:rPr>
          <w:rFonts w:ascii="Times New Roman" w:cs="Times New Roman" w:eastAsia="Times New Roman" w:hAnsi="Times New Roman"/>
          <w:sz w:val="16"/>
          <w:szCs w:val="16"/>
          <w:b w:val="1"/>
          <w:bCs w:val="1"/>
          <w:color w:val="01ABE6"/>
        </w:rPr>
        <w:t>Vintage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675630" cy="22282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75630" cy="222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20" w:firstLine="315"/>
        <w:spacing w:after="0" w:line="268" w:lineRule="auto"/>
        <w:rPr>
          <w:sz w:val="20"/>
          <w:szCs w:val="20"/>
          <w:color w:val="auto"/>
        </w:rPr>
      </w:pPr>
      <w:r>
        <w:rPr>
          <w:rFonts w:ascii="Times New Roman" w:cs="Times New Roman" w:eastAsia="Times New Roman" w:hAnsi="Times New Roman"/>
          <w:sz w:val="18"/>
          <w:szCs w:val="18"/>
          <w:color w:val="auto"/>
        </w:rPr>
        <w:t>The following graph presents delinquency trends for residential loans, excluding government insured residential loans, over the periods indicated (in millions):</w:t>
      </w:r>
    </w:p>
    <w:p>
      <w:pPr>
        <w:spacing w:after="0" w:line="16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01ABE6"/>
        </w:rPr>
        <w:t>Residential Delinquencies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4640580" cy="18364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640580" cy="1836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40" w:firstLine="315"/>
        <w:spacing w:after="0" w:line="268" w:lineRule="auto"/>
        <w:rPr>
          <w:sz w:val="20"/>
          <w:szCs w:val="20"/>
          <w:color w:val="auto"/>
        </w:rPr>
      </w:pPr>
      <w:r>
        <w:rPr>
          <w:rFonts w:ascii="Times New Roman" w:cs="Times New Roman" w:eastAsia="Times New Roman" w:hAnsi="Times New Roman"/>
          <w:sz w:val="18"/>
          <w:szCs w:val="18"/>
          <w:color w:val="auto"/>
        </w:rPr>
        <w:t>FICO scores are generally updated semi-annually and were most recently updated in the third quarter of 2025. LTVs are typically based on valuation at origination.</w:t>
      </w:r>
    </w:p>
    <w:p>
      <w:pPr>
        <w:spacing w:after="0" w:line="103" w:lineRule="exact"/>
        <w:rPr>
          <w:sz w:val="20"/>
          <w:szCs w:val="20"/>
          <w:color w:val="auto"/>
        </w:rPr>
      </w:pPr>
    </w:p>
    <w:p>
      <w:pPr>
        <w:ind w:right="460" w:firstLine="315"/>
        <w:spacing w:after="0" w:line="268" w:lineRule="auto"/>
        <w:rPr>
          <w:sz w:val="20"/>
          <w:szCs w:val="20"/>
          <w:color w:val="auto"/>
        </w:rPr>
      </w:pPr>
      <w:r>
        <w:rPr>
          <w:rFonts w:ascii="Times New Roman" w:cs="Times New Roman" w:eastAsia="Times New Roman" w:hAnsi="Times New Roman"/>
          <w:sz w:val="18"/>
          <w:szCs w:val="18"/>
          <w:color w:val="auto"/>
        </w:rPr>
        <w:t>Note 4 to the consolidated financial statements presents additional information about key credit quality indicators and delinquency status of the loan portfolio.</w:t>
      </w:r>
    </w:p>
    <w:p>
      <w:pPr>
        <w:spacing w:after="0" w:line="200" w:lineRule="exact"/>
        <w:rPr>
          <w:sz w:val="20"/>
          <w:szCs w:val="20"/>
          <w:color w:val="auto"/>
        </w:rPr>
      </w:pP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46" w:right="419" w:bottom="1440" w:gutter="0" w:footer="0" w:header="0"/>
        </w:sectPr>
      </w:pPr>
    </w:p>
    <w:bookmarkStart w:id="59" w:name="page60"/>
    <w:bookmarkEnd w:id="59"/>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139" w:lineRule="exact"/>
        <w:rPr>
          <w:sz w:val="20"/>
          <w:szCs w:val="20"/>
          <w:color w:val="auto"/>
        </w:rPr>
      </w:pPr>
    </w:p>
    <w:p>
      <w:pPr>
        <w:ind w:right="240" w:firstLine="315"/>
        <w:spacing w:after="0" w:line="256" w:lineRule="auto"/>
        <w:rPr>
          <w:sz w:val="20"/>
          <w:szCs w:val="20"/>
          <w:color w:val="auto"/>
        </w:rPr>
      </w:pPr>
      <w:r>
        <w:rPr>
          <w:rFonts w:ascii="Times New Roman" w:cs="Times New Roman" w:eastAsia="Times New Roman" w:hAnsi="Times New Roman"/>
          <w:sz w:val="18"/>
          <w:szCs w:val="18"/>
          <w:color w:val="auto"/>
        </w:rPr>
        <w:t>Non-performing assets consist of (i) non-accrual loans, (ii) accruing loans that are more than 90 days contractually past due as to interest or principal, excluding PCD loans for which management has a reasonable basis for an expectation about future cash flows and government insured residential loans, and (iii) OREO and other non-performing assets.</w:t>
      </w:r>
    </w:p>
    <w:p>
      <w:pPr>
        <w:spacing w:after="0" w:line="113" w:lineRule="exact"/>
        <w:rPr>
          <w:sz w:val="20"/>
          <w:szCs w:val="20"/>
          <w:color w:val="auto"/>
        </w:rPr>
      </w:pPr>
    </w:p>
    <w:p>
      <w:pPr>
        <w:ind w:right="78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non-performing loans and non-performing assets at the dates indicated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r>
      <w:tr>
        <w:trPr>
          <w:trHeight w:val="24"/>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3"/>
        </w:trPr>
        <w:tc>
          <w:tcPr>
            <w:tcW w:w="83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Non-accrual loans: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Non-owner occupied 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67,348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54,169</w:t>
            </w:r>
          </w:p>
        </w:tc>
      </w:tr>
      <w:tr>
        <w:trPr>
          <w:trHeight w:val="22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land</w:t>
            </w:r>
          </w:p>
        </w:tc>
        <w:tc>
          <w:tcPr>
            <w:tcW w:w="12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29,662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31,758</w:t>
            </w:r>
          </w:p>
        </w:tc>
      </w:tr>
      <w:tr>
        <w:trPr>
          <w:trHeight w:val="22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23,706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3,803</w:t>
            </w:r>
          </w:p>
        </w:tc>
      </w:tr>
      <w:tr>
        <w:trPr>
          <w:trHeight w:val="22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187,068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92,475</w:t>
            </w:r>
          </w:p>
        </w:tc>
      </w:tr>
      <w:tr>
        <w:trPr>
          <w:trHeight w:val="22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and equipment finance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2,516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6,010</w:t>
            </w:r>
          </w:p>
        </w:tc>
      </w:tr>
      <w:tr>
        <w:trPr>
          <w:trHeight w:val="223"/>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Guaranteed portion of SBA</w:t>
            </w:r>
          </w:p>
        </w:tc>
        <w:tc>
          <w:tcPr>
            <w:tcW w:w="12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37,926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34,328</w:t>
            </w:r>
          </w:p>
        </w:tc>
      </w:tr>
      <w:tr>
        <w:trPr>
          <w:trHeight w:val="223"/>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Non-guaranteed portion of SBA</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1,516</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4,071</w:t>
            </w:r>
          </w:p>
        </w:tc>
      </w:tr>
      <w:tr>
        <w:trPr>
          <w:trHeight w:val="217"/>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commercial loans</w:t>
            </w:r>
          </w:p>
        </w:tc>
        <w:tc>
          <w:tcPr>
            <w:tcW w:w="12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349,742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226,614</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22,876</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23,500</w:t>
            </w:r>
          </w:p>
        </w:tc>
      </w:tr>
      <w:tr>
        <w:trPr>
          <w:trHeight w:val="21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non-accrual loans</w:t>
            </w:r>
          </w:p>
        </w:tc>
        <w:tc>
          <w:tcPr>
            <w:tcW w:w="12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372,618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250,114</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past due 90 days and still accruing</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593</w:t>
            </w:r>
          </w:p>
        </w:tc>
      </w:tr>
      <w:tr>
        <w:trPr>
          <w:trHeight w:val="217"/>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372,618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250,707</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OREO and other non-performing assets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4,829</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5,482</w:t>
            </w:r>
          </w:p>
        </w:tc>
      </w:tr>
      <w:tr>
        <w:trPr>
          <w:trHeight w:val="217"/>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377,447</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256,189</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9"/>
        </w:trPr>
        <w:tc>
          <w:tcPr>
            <w:tcW w:w="8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loans to total loans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loans, excluding the guaranteed portion of non-accrual SBA loans, to total loans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0.89 %</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0.73 %</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excluding the guaranteed portion of non-accrual SBA loans, to total assets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0.97 %</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0.63 %</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 to total loans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0.92 %</w:t>
            </w:r>
          </w:p>
        </w:tc>
      </w:tr>
      <w:tr>
        <w:trPr>
          <w:trHeight w:val="223"/>
        </w:trPr>
        <w:tc>
          <w:tcPr>
            <w:tcW w:w="83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Commercial ACL to commercial loans </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 to non-performing loans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89.01 %</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charge-offs to average loans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13773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220" w:lineRule="exact"/>
        <w:rPr>
          <w:sz w:val="20"/>
          <w:szCs w:val="20"/>
          <w:color w:val="auto"/>
        </w:rPr>
      </w:pPr>
    </w:p>
    <w:p>
      <w:pPr>
        <w:ind w:left="320" w:right="100" w:hanging="315"/>
        <w:spacing w:after="0" w:line="287" w:lineRule="auto"/>
        <w:tabs>
          <w:tab w:leader="none" w:pos="30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ratio, commercial loans includes the C&amp;I and CRE sub-segments, as well as franchise and equipment finance. Due to their unique risk profiles, MWL and municipal finance are excluded from this ratio.</w:t>
      </w:r>
    </w:p>
    <w:p>
      <w:pPr>
        <w:spacing w:after="0" w:line="92" w:lineRule="exact"/>
        <w:rPr>
          <w:sz w:val="20"/>
          <w:szCs w:val="20"/>
          <w:color w:val="auto"/>
        </w:rPr>
      </w:pPr>
    </w:p>
    <w:p>
      <w:pPr>
        <w:ind w:right="240" w:firstLine="315"/>
        <w:spacing w:after="0" w:line="256" w:lineRule="auto"/>
        <w:rPr>
          <w:sz w:val="20"/>
          <w:szCs w:val="20"/>
          <w:color w:val="auto"/>
        </w:rPr>
      </w:pPr>
      <w:r>
        <w:rPr>
          <w:rFonts w:ascii="Times New Roman" w:cs="Times New Roman" w:eastAsia="Times New Roman" w:hAnsi="Times New Roman"/>
          <w:sz w:val="18"/>
          <w:szCs w:val="18"/>
          <w:color w:val="auto"/>
        </w:rPr>
        <w:t>Contractually delinquent government insured residential loans are typically Buyout Loans and are excluded from non-performing loans as defined in the table above due to their government guarantee. The carrying value of such loans contractually delinquent by 90 days or more was $159 million and $226 million at December 31, 2025 and 2024, respectively.</w:t>
      </w:r>
    </w:p>
    <w:p>
      <w:pPr>
        <w:spacing w:after="0" w:line="113" w:lineRule="exact"/>
        <w:rPr>
          <w:sz w:val="20"/>
          <w:szCs w:val="20"/>
          <w:color w:val="auto"/>
        </w:rPr>
      </w:pPr>
    </w:p>
    <w:p>
      <w:pPr>
        <w:ind w:right="200" w:firstLine="315"/>
        <w:spacing w:after="0" w:line="331" w:lineRule="auto"/>
        <w:rPr>
          <w:sz w:val="20"/>
          <w:szCs w:val="20"/>
          <w:color w:val="auto"/>
        </w:rPr>
      </w:pPr>
      <w:r>
        <w:rPr>
          <w:rFonts w:ascii="Times New Roman" w:cs="Times New Roman" w:eastAsia="Times New Roman" w:hAnsi="Times New Roman"/>
          <w:sz w:val="16"/>
          <w:szCs w:val="16"/>
          <w:color w:val="auto"/>
        </w:rPr>
        <w:t>The year-over-year decline in the ratio of the ACL to non-performing loans is related to non-performing loans that have no or relatively low related ACL due to the adequacy of estimated collateral value to cover the remaining outstanding balance, which is in some cases net of partial charge-offs recognized.</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charts present non-performing CRE loans by property type at the dates indicated (in millions):</w:t>
      </w:r>
    </w:p>
    <w:p>
      <w:pPr>
        <w:spacing w:after="0" w:line="396" w:lineRule="exact"/>
        <w:rPr>
          <w:sz w:val="20"/>
          <w:szCs w:val="20"/>
          <w:color w:val="auto"/>
        </w:rPr>
      </w:pPr>
    </w:p>
    <w:p>
      <w:pPr>
        <w:ind w:left="1360"/>
        <w:spacing w:after="0"/>
        <w:tabs>
          <w:tab w:leader="none" w:pos="5360" w:val="left"/>
        </w:tabs>
        <w:rPr>
          <w:sz w:val="20"/>
          <w:szCs w:val="20"/>
          <w:color w:val="auto"/>
        </w:rPr>
      </w:pPr>
      <w:r>
        <w:rPr>
          <w:rFonts w:ascii="Times New Roman" w:cs="Times New Roman" w:eastAsia="Times New Roman" w:hAnsi="Times New Roman"/>
          <w:sz w:val="18"/>
          <w:szCs w:val="18"/>
          <w:b w:val="1"/>
          <w:bCs w:val="1"/>
          <w:color w:val="01ABE6"/>
        </w:rPr>
        <w:t>December 31, 2025</w:t>
      </w:r>
      <w:r>
        <w:rPr>
          <w:sz w:val="20"/>
          <w:szCs w:val="20"/>
          <w:color w:val="auto"/>
        </w:rPr>
        <w:tab/>
      </w:r>
      <w:r>
        <w:rPr>
          <w:rFonts w:ascii="Times New Roman" w:cs="Times New Roman" w:eastAsia="Times New Roman" w:hAnsi="Times New Roman"/>
          <w:sz w:val="16"/>
          <w:szCs w:val="16"/>
          <w:b w:val="1"/>
          <w:bCs w:val="1"/>
          <w:color w:val="01ABE6"/>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123825</wp:posOffset>
            </wp:positionV>
            <wp:extent cx="5383530" cy="19862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83530" cy="1986280"/>
                    </a:xfrm>
                    <a:prstGeom prst="rect">
                      <a:avLst/>
                    </a:prstGeom>
                    <a:noFill/>
                  </pic:spPr>
                </pic:pic>
              </a:graphicData>
            </a:graphic>
          </wp:anchor>
        </w:drawing>
      </w:r>
    </w:p>
    <w:p>
      <w:pPr>
        <w:sectPr>
          <w:pgSz w:w="11900" w:h="16838" w:orient="portrait"/>
          <w:cols w:equalWidth="0" w:num="1">
            <w:col w:w="11240"/>
          </w:cols>
          <w:pgMar w:left="320" w:top="12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315"/>
        <w:spacing w:after="0" w:line="288" w:lineRule="auto"/>
        <w:rPr>
          <w:sz w:val="20"/>
          <w:szCs w:val="20"/>
          <w:color w:val="auto"/>
        </w:rPr>
      </w:pPr>
      <w:r>
        <w:rPr>
          <w:rFonts w:ascii="Times New Roman" w:cs="Times New Roman" w:eastAsia="Times New Roman" w:hAnsi="Times New Roman"/>
          <w:sz w:val="16"/>
          <w:szCs w:val="16"/>
          <w:color w:val="auto"/>
        </w:rPr>
        <w:t>Commercial loans are placed on non-accrual status when (i) management has determined that full repayment of all contractual principal and interest is in doubt, or (ii) the loan is past due 90 days or more as to principal or interest unless the loan is well secured and in the process of collection. Residential loans, other than Buyout Loans, are generally placed on non-accrual status when they are 60 days past due. When a loan is placed on non-accrual status, uncollected interest accrued is reversed and charged to interest income. Commercial loans are returned to accrual status only after all past due principal and interest has been collected and full repayment of remaining contractual principal and interest is reasonably assured. Residential loans are generally returned to accrual status</w:t>
      </w:r>
    </w:p>
    <w:p>
      <w:pPr>
        <w:sectPr>
          <w:pgSz w:w="11900" w:h="16838" w:orient="portrait"/>
          <w:cols w:equalWidth="0" w:num="1">
            <w:col w:w="11240"/>
          </w:cols>
          <w:pgMar w:left="320" w:top="1221" w:right="339" w:bottom="0" w:gutter="0" w:footer="0" w:header="0"/>
          <w:type w:val="continuous"/>
        </w:sectPr>
      </w:pPr>
    </w:p>
    <w:bookmarkStart w:id="60" w:name="page61"/>
    <w:bookmarkEnd w:id="60"/>
    <w:p>
      <w:pPr>
        <w:ind w:right="260"/>
        <w:spacing w:after="0" w:line="268" w:lineRule="auto"/>
        <w:rPr>
          <w:sz w:val="20"/>
          <w:szCs w:val="20"/>
          <w:color w:val="auto"/>
        </w:rPr>
      </w:pPr>
      <w:r>
        <w:rPr>
          <w:rFonts w:ascii="Times New Roman" w:cs="Times New Roman" w:eastAsia="Times New Roman" w:hAnsi="Times New Roman"/>
          <w:sz w:val="18"/>
          <w:szCs w:val="18"/>
          <w:color w:val="auto"/>
        </w:rPr>
        <w:t>when less than 60 days past due. Past due status of loans is determined based on the contractual next payment due date. Loans less than 30 days past due are reported as current.</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Loss Mitigation Strategies</w:t>
      </w:r>
    </w:p>
    <w:p>
      <w:pPr>
        <w:spacing w:after="0" w:line="152" w:lineRule="exact"/>
        <w:rPr>
          <w:sz w:val="20"/>
          <w:szCs w:val="20"/>
          <w:color w:val="auto"/>
        </w:rPr>
      </w:pPr>
    </w:p>
    <w:p>
      <w:pPr>
        <w:ind w:firstLine="315"/>
        <w:spacing w:after="0" w:line="283" w:lineRule="auto"/>
        <w:rPr>
          <w:sz w:val="20"/>
          <w:szCs w:val="20"/>
          <w:color w:val="auto"/>
        </w:rPr>
      </w:pPr>
      <w:r>
        <w:rPr>
          <w:rFonts w:ascii="Times New Roman" w:cs="Times New Roman" w:eastAsia="Times New Roman" w:hAnsi="Times New Roman"/>
          <w:sz w:val="16"/>
          <w:szCs w:val="16"/>
          <w:color w:val="auto"/>
        </w:rPr>
        <w:t>Criticized or classified commercial loans in excess of certain thresholds are reviewed quarterly by the Criticized Asset Committee, which evaluates the appropriate strategy for collection to mitigate the amount of credit losses and considers the appropriate risk rating for these loans. Criticized asset reports for each relationship are presented by the assigned relationship manager and credit officer to the Criticized Asset Committee until such time as the relationships are returned to a satisfactory credit risk rating or otherwise resolved. The Criticized Asset Committee may require the transfer of a loan to our workout and recovery department, which is tasked to effectively manage the loan with the goal of minimizing losses and expenses associated with restructure, collection and/or liquidation of collateral. Commercial loans with a risk rating of substandard, loans on non-accrual status, and assets classified as OREO or repossessed assets are usually transferred to workout and recovery. Oversight of the workout and recovery department is provided by the Criticized Asset Committee.</w:t>
      </w:r>
    </w:p>
    <w:p>
      <w:pPr>
        <w:spacing w:after="0" w:line="85" w:lineRule="exact"/>
        <w:rPr>
          <w:sz w:val="20"/>
          <w:szCs w:val="20"/>
          <w:color w:val="auto"/>
        </w:rPr>
      </w:pPr>
    </w:p>
    <w:p>
      <w:pPr>
        <w:ind w:right="260" w:firstLine="315"/>
        <w:spacing w:after="0" w:line="268" w:lineRule="auto"/>
        <w:rPr>
          <w:sz w:val="20"/>
          <w:szCs w:val="20"/>
          <w:color w:val="auto"/>
        </w:rPr>
      </w:pPr>
      <w:r>
        <w:rPr>
          <w:rFonts w:ascii="Times New Roman" w:cs="Times New Roman" w:eastAsia="Times New Roman" w:hAnsi="Times New Roman"/>
          <w:sz w:val="18"/>
          <w:szCs w:val="18"/>
          <w:color w:val="auto"/>
        </w:rPr>
        <w:t>Our servicers evaluate each residential loan in default to determine the most effective loss mitigation strategy, which may be modification, short sale, or foreclosure, and pursue the alternative most suitable to the consumer and to mitigate losses to the Bank.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Allowance for Credit Losses</w:t>
      </w:r>
    </w:p>
    <w:p>
      <w:pPr>
        <w:spacing w:after="0" w:line="163" w:lineRule="exact"/>
        <w:rPr>
          <w:sz w:val="20"/>
          <w:szCs w:val="20"/>
          <w:color w:val="auto"/>
        </w:rPr>
      </w:pPr>
    </w:p>
    <w:p>
      <w:pPr>
        <w:ind w:right="40" w:firstLine="315"/>
        <w:spacing w:after="0" w:line="247" w:lineRule="auto"/>
        <w:rPr>
          <w:sz w:val="20"/>
          <w:szCs w:val="20"/>
          <w:color w:val="auto"/>
        </w:rPr>
      </w:pPr>
      <w:r>
        <w:rPr>
          <w:rFonts w:ascii="Times New Roman" w:cs="Times New Roman" w:eastAsia="Times New Roman" w:hAnsi="Times New Roman"/>
          <w:sz w:val="18"/>
          <w:szCs w:val="18"/>
          <w:color w:val="auto"/>
        </w:rPr>
        <w:t>The ACL is management's estimate of the amount of expected credit losses over the life of the loan portfolio, or the amount of amortized cost basis not expected to be collected, at the balance sheet date. This estimate encompasses information about historical events, current conditions and reasonable and supportable economic forecasts. Determining the amount of the ACL is complex and requires extensive judgment by management about matters that are inherently uncertain. Given the complexity of the ACL estimate, the level of management judgment required and inherent uncertainty with respect to future developments in the external environment, it is possible that the ACL estimate could change, potentially materially, in future periods. Changes in the ACL may result from changes in current economic conditions, including but not limited to unanticipated changes in interest rates or inflationary pressures, changes in our economic forecast, loan portfolio composition, commercial and residential real estate market dynamics and other circumstances not currently known to us that may impact the financial condition and operations of our borrowers, among other factors.</w:t>
      </w:r>
    </w:p>
    <w:p>
      <w:pPr>
        <w:spacing w:after="0" w:line="136" w:lineRule="exact"/>
        <w:rPr>
          <w:sz w:val="20"/>
          <w:szCs w:val="20"/>
          <w:color w:val="auto"/>
        </w:rPr>
      </w:pPr>
    </w:p>
    <w:p>
      <w:pPr>
        <w:ind w:right="140" w:firstLine="315"/>
        <w:spacing w:after="0" w:line="268" w:lineRule="auto"/>
        <w:rPr>
          <w:sz w:val="20"/>
          <w:szCs w:val="20"/>
          <w:color w:val="auto"/>
        </w:rPr>
      </w:pPr>
      <w:r>
        <w:rPr>
          <w:rFonts w:ascii="Times New Roman" w:cs="Times New Roman" w:eastAsia="Times New Roman" w:hAnsi="Times New Roman"/>
          <w:sz w:val="18"/>
          <w:szCs w:val="18"/>
          <w:color w:val="auto"/>
        </w:rPr>
        <w:t>Expected credit losses are estimated on a collective basis for groups of loans that share similar risk characteristics. For loans that do not share similar risk characteristics with other loans such as collateral dependent loans, expected credit losses are</w:t>
      </w:r>
    </w:p>
    <w:p>
      <w:pPr>
        <w:spacing w:after="0" w:line="3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ind w:right="380"/>
        <w:spacing w:after="0" w:line="268" w:lineRule="auto"/>
        <w:rPr>
          <w:sz w:val="20"/>
          <w:szCs w:val="20"/>
          <w:color w:val="auto"/>
        </w:rPr>
      </w:pPr>
      <w:r>
        <w:rPr>
          <w:rFonts w:ascii="Times New Roman" w:cs="Times New Roman" w:eastAsia="Times New Roman" w:hAnsi="Times New Roman"/>
          <w:sz w:val="18"/>
          <w:szCs w:val="18"/>
          <w:color w:val="auto"/>
        </w:rPr>
        <w:t>estimated on an individual basis. Expected credit losses are estimated over the contractual terms of the loans, adjusted for expected prepayments, generally excluding expected extensions, renewals, and modifications.</w:t>
      </w:r>
    </w:p>
    <w:p>
      <w:pPr>
        <w:spacing w:after="0" w:line="116" w:lineRule="exact"/>
        <w:rPr>
          <w:sz w:val="20"/>
          <w:szCs w:val="20"/>
          <w:color w:val="auto"/>
        </w:rPr>
      </w:pPr>
    </w:p>
    <w:p>
      <w:pPr>
        <w:ind w:right="120" w:firstLine="315"/>
        <w:spacing w:after="0" w:line="268" w:lineRule="auto"/>
        <w:rPr>
          <w:sz w:val="20"/>
          <w:szCs w:val="20"/>
          <w:color w:val="auto"/>
        </w:rPr>
      </w:pPr>
      <w:r>
        <w:rPr>
          <w:rFonts w:ascii="Times New Roman" w:cs="Times New Roman" w:eastAsia="Times New Roman" w:hAnsi="Times New Roman"/>
          <w:sz w:val="18"/>
          <w:szCs w:val="18"/>
          <w:color w:val="auto"/>
        </w:rPr>
        <w:t>For the substantial majority of portfolio segments and subsegments, including residential loans other than government insured loans and most commercial and commercial real estate loans, expected losses are estimated using econometric models.</w:t>
      </w:r>
    </w:p>
    <w:p>
      <w:pPr>
        <w:spacing w:after="0" w:line="116" w:lineRule="exact"/>
        <w:rPr>
          <w:sz w:val="20"/>
          <w:szCs w:val="20"/>
          <w:color w:val="auto"/>
        </w:rPr>
      </w:pPr>
    </w:p>
    <w:p>
      <w:pPr>
        <w:ind w:right="40" w:firstLine="315"/>
        <w:spacing w:after="0" w:line="252" w:lineRule="auto"/>
        <w:rPr>
          <w:sz w:val="20"/>
          <w:szCs w:val="20"/>
          <w:color w:val="auto"/>
        </w:rPr>
      </w:pPr>
      <w:r>
        <w:rPr>
          <w:rFonts w:ascii="Times New Roman" w:cs="Times New Roman" w:eastAsia="Times New Roman" w:hAnsi="Times New Roman"/>
          <w:sz w:val="18"/>
          <w:szCs w:val="18"/>
          <w:color w:val="auto"/>
        </w:rPr>
        <w:t>A single economic scenario or a probability weighted blend of economic scenarios may be used. The models ingest numerous national, regional and MSA level variables and data points. At December 31, 2025 and 2024, we used a combination of weighted third-party provided economic scenarios in calculating the quantitative portion of the ACL. Each of these externally provided scenarios in fact represents the result of a probability weighting of thousands of individual scenario paths.</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 to the consolidated financial statements for more detailed information about our ACL methodology and related accounting policies.</w:t>
      </w:r>
    </w:p>
    <w:p>
      <w:pPr>
        <w:spacing w:after="0" w:line="148" w:lineRule="exact"/>
        <w:rPr>
          <w:sz w:val="20"/>
          <w:szCs w:val="20"/>
          <w:color w:val="auto"/>
        </w:rPr>
      </w:pPr>
    </w:p>
    <w:p>
      <w:pPr>
        <w:ind w:right="48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 provides an analysis of the ACL, the provision for credit losses related to the funded portion of loans and net charge-offs by loan segment for the periods indicated (dollars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Pinnacle -</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Franchise and</w:t>
            </w:r>
          </w:p>
        </w:tc>
        <w:tc>
          <w:tcPr>
            <w:tcW w:w="100" w:type="dxa"/>
            <w:vAlign w:val="bottom"/>
          </w:tcPr>
          <w:p>
            <w:pPr>
              <w:spacing w:after="0"/>
              <w:rPr>
                <w:sz w:val="13"/>
                <w:szCs w:val="13"/>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Residential and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CRE</w:t>
            </w:r>
          </w:p>
        </w:tc>
        <w:tc>
          <w:tcPr>
            <w:tcW w:w="260" w:type="dxa"/>
            <w:vAlign w:val="bottom"/>
          </w:tcPr>
          <w:p>
            <w:pPr>
              <w:spacing w:after="0"/>
              <w:rPr>
                <w:sz w:val="12"/>
                <w:szCs w:val="12"/>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Municipal</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MWL</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24,751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97,190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14,091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11,741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147,946</w:t>
            </w:r>
          </w:p>
        </w:tc>
        <w:tc>
          <w:tcPr>
            <w:tcW w:w="0" w:type="dxa"/>
            <w:vAlign w:val="bottom"/>
          </w:tcPr>
          <w:p>
            <w:pPr>
              <w:spacing w:after="0"/>
              <w:rPr>
                <w:sz w:val="1"/>
                <w:szCs w:val="1"/>
                <w:color w:val="auto"/>
              </w:rPr>
            </w:pPr>
          </w:p>
        </w:tc>
      </w:tr>
      <w:tr>
        <w:trPr>
          <w:trHeight w:val="19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Impact of adoption of ASU 2022-02</w:t>
            </w: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(1,794)</w:t>
            </w:r>
          </w:p>
        </w:tc>
        <w:tc>
          <w:tcPr>
            <w:tcW w:w="0" w:type="dxa"/>
            <w:vAlign w:val="bottom"/>
          </w:tcPr>
          <w:p>
            <w:pPr>
              <w:spacing w:after="0"/>
              <w:rPr>
                <w:sz w:val="1"/>
                <w:szCs w:val="1"/>
                <w:color w:val="auto"/>
              </w:rPr>
            </w:pPr>
          </w:p>
        </w:tc>
      </w:tr>
      <w:tr>
        <w:trPr>
          <w:trHeight w:val="197"/>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2023</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24,751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95,519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14,085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11,624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146,152</w:t>
            </w:r>
          </w:p>
        </w:tc>
        <w:tc>
          <w:tcPr>
            <w:tcW w:w="0" w:type="dxa"/>
            <w:vAlign w:val="bottom"/>
          </w:tcPr>
          <w:p>
            <w:pPr>
              <w:spacing w:after="0"/>
              <w:rPr>
                <w:sz w:val="1"/>
                <w:szCs w:val="1"/>
                <w:color w:val="auto"/>
              </w:rPr>
            </w:pPr>
          </w:p>
        </w:tc>
      </w:tr>
      <w:tr>
        <w:trPr>
          <w:trHeight w:val="19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17,192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62,053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(3,785)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78,924</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Charge-offs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(26,539)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(7,247)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(35,014)</w:t>
            </w:r>
          </w:p>
        </w:tc>
        <w:tc>
          <w:tcPr>
            <w:tcW w:w="0" w:type="dxa"/>
            <w:vAlign w:val="bottom"/>
          </w:tcPr>
          <w:p>
            <w:pPr>
              <w:spacing w:after="0"/>
              <w:rPr>
                <w:sz w:val="1"/>
                <w:szCs w:val="1"/>
                <w:color w:val="auto"/>
              </w:rPr>
            </w:pPr>
          </w:p>
        </w:tc>
      </w:tr>
      <w:tr>
        <w:trPr>
          <w:trHeight w:val="19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Recoveries</w:t>
            </w:r>
          </w:p>
        </w:tc>
        <w:tc>
          <w:tcPr>
            <w:tcW w:w="24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11,372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12,627</w:t>
            </w:r>
          </w:p>
        </w:tc>
        <w:tc>
          <w:tcPr>
            <w:tcW w:w="0" w:type="dxa"/>
            <w:vAlign w:val="bottom"/>
          </w:tcPr>
          <w:p>
            <w:pPr>
              <w:spacing w:after="0"/>
              <w:rPr>
                <w:sz w:val="1"/>
                <w:szCs w:val="1"/>
                <w:color w:val="auto"/>
              </w:rPr>
            </w:pPr>
          </w:p>
        </w:tc>
      </w:tr>
      <w:tr>
        <w:trPr>
          <w:trHeight w:val="197"/>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41,338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142,405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10,855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7,848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202,689</w:t>
            </w:r>
          </w:p>
        </w:tc>
        <w:tc>
          <w:tcPr>
            <w:tcW w:w="0" w:type="dxa"/>
            <w:vAlign w:val="bottom"/>
          </w:tcPr>
          <w:p>
            <w:pPr>
              <w:spacing w:after="0"/>
              <w:rPr>
                <w:sz w:val="1"/>
                <w:szCs w:val="1"/>
                <w:color w:val="auto"/>
              </w:rPr>
            </w:pPr>
          </w:p>
        </w:tc>
      </w:tr>
      <w:tr>
        <w:trPr>
          <w:trHeight w:val="19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34,946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23,455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(3,806)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4,518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58,986</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Charge-offs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(6,202)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(47,912)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(5,710)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(59,950)</w:t>
            </w:r>
          </w:p>
        </w:tc>
        <w:tc>
          <w:tcPr>
            <w:tcW w:w="0" w:type="dxa"/>
            <w:vAlign w:val="bottom"/>
          </w:tcPr>
          <w:p>
            <w:pPr>
              <w:spacing w:after="0"/>
              <w:rPr>
                <w:sz w:val="1"/>
                <w:szCs w:val="1"/>
                <w:color w:val="auto"/>
              </w:rPr>
            </w:pPr>
          </w:p>
        </w:tc>
      </w:tr>
      <w:tr>
        <w:trPr>
          <w:trHeight w:val="19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Recoveries</w:t>
            </w:r>
          </w:p>
        </w:tc>
        <w:tc>
          <w:tcPr>
            <w:tcW w:w="24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20,006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21,428</w:t>
            </w:r>
          </w:p>
        </w:tc>
        <w:tc>
          <w:tcPr>
            <w:tcW w:w="0" w:type="dxa"/>
            <w:vAlign w:val="bottom"/>
          </w:tcPr>
          <w:p>
            <w:pPr>
              <w:spacing w:after="0"/>
              <w:rPr>
                <w:sz w:val="1"/>
                <w:szCs w:val="1"/>
                <w:color w:val="auto"/>
              </w:rPr>
            </w:pPr>
          </w:p>
        </w:tc>
      </w:tr>
      <w:tr>
        <w:trPr>
          <w:trHeight w:val="197"/>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70,458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137,954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2,381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12,244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223,153</w:t>
            </w:r>
          </w:p>
        </w:tc>
        <w:tc>
          <w:tcPr>
            <w:tcW w:w="0" w:type="dxa"/>
            <w:vAlign w:val="bottom"/>
          </w:tcPr>
          <w:p>
            <w:pPr>
              <w:spacing w:after="0"/>
              <w:rPr>
                <w:sz w:val="1"/>
                <w:szCs w:val="1"/>
                <w:color w:val="auto"/>
              </w:rPr>
            </w:pPr>
          </w:p>
        </w:tc>
      </w:tr>
      <w:tr>
        <w:trPr>
          <w:trHeight w:val="19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4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6,389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64,474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68,351</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Charge-offs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(18,532)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(62,270)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(81,010)</w:t>
            </w:r>
          </w:p>
        </w:tc>
        <w:tc>
          <w:tcPr>
            <w:tcW w:w="0" w:type="dxa"/>
            <w:vAlign w:val="bottom"/>
          </w:tcPr>
          <w:p>
            <w:pPr>
              <w:spacing w:after="0"/>
              <w:rPr>
                <w:sz w:val="1"/>
                <w:szCs w:val="1"/>
                <w:color w:val="auto"/>
              </w:rPr>
            </w:pPr>
          </w:p>
        </w:tc>
      </w:tr>
      <w:tr>
        <w:trPr>
          <w:trHeight w:val="190"/>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Recoveries</w:t>
            </w:r>
          </w:p>
        </w:tc>
        <w:tc>
          <w:tcPr>
            <w:tcW w:w="24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8,479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9,331</w:t>
            </w:r>
          </w:p>
        </w:tc>
        <w:tc>
          <w:tcPr>
            <w:tcW w:w="0" w:type="dxa"/>
            <w:vAlign w:val="bottom"/>
          </w:tcPr>
          <w:p>
            <w:pPr>
              <w:spacing w:after="0"/>
              <w:rPr>
                <w:sz w:val="1"/>
                <w:szCs w:val="1"/>
                <w:color w:val="auto"/>
              </w:rPr>
            </w:pPr>
          </w:p>
        </w:tc>
      </w:tr>
      <w:tr>
        <w:trPr>
          <w:trHeight w:val="222"/>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58,344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148,637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11,778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219,825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Charge-offs to Average Loans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0.16 %</w:t>
            </w:r>
          </w:p>
        </w:tc>
        <w:tc>
          <w:tcPr>
            <w:tcW w:w="0" w:type="dxa"/>
            <w:vAlign w:val="bottom"/>
          </w:tcPr>
          <w:p>
            <w:pPr>
              <w:spacing w:after="0"/>
              <w:rPr>
                <w:sz w:val="1"/>
                <w:szCs w:val="1"/>
                <w:color w:val="auto"/>
              </w:rPr>
            </w:pPr>
          </w:p>
        </w:tc>
      </w:tr>
      <w:tr>
        <w:trPr>
          <w:trHeight w:val="183"/>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0.62 %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0.30 %</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distribution of the ACL at the dates indicated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2180" w:type="dxa"/>
            <w:vAlign w:val="bottom"/>
            <w:gridSpan w:val="3"/>
          </w:tcPr>
          <w:p>
            <w:pPr>
              <w:jc w:val="right"/>
              <w:ind w:right="56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2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21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tcPr>
          <w:p>
            <w:pPr>
              <w:jc w:val="right"/>
              <w:ind w:right="407"/>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Pr>
          <w:p>
            <w:pPr>
              <w:jc w:val="right"/>
              <w:ind w:right="427"/>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8"/>
                <w:szCs w:val="8"/>
                <w:b w:val="1"/>
                <w:bCs w:val="1"/>
                <w:color w:val="auto"/>
              </w:rPr>
              <w:t>(1)</w:t>
            </w:r>
          </w:p>
        </w:tc>
      </w:tr>
      <w:tr>
        <w:trPr>
          <w:trHeight w:val="203"/>
        </w:trPr>
        <w:tc>
          <w:tcPr>
            <w:tcW w:w="624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CRE</w:t>
            </w: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58,344</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28.1 %</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70,458</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25.6 %</w:t>
            </w:r>
          </w:p>
        </w:tc>
      </w:tr>
      <w:tr>
        <w:trPr>
          <w:trHeight w:val="208"/>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C&amp;I</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148,637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137,954</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36.9 %</w:t>
            </w:r>
          </w:p>
        </w:tc>
      </w:tr>
      <w:tr>
        <w:trPr>
          <w:trHeight w:val="212"/>
        </w:trPr>
        <w:tc>
          <w:tcPr>
            <w:tcW w:w="6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Pinnacle - municipal finance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08"/>
        </w:trPr>
        <w:tc>
          <w:tcPr>
            <w:tcW w:w="62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Franchise and equipment finance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05"/>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208,047</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210,909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2"/>
        </w:trPr>
        <w:tc>
          <w:tcPr>
            <w:tcW w:w="6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Residential and MWL</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11,778</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12,244</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33.6 %</w:t>
            </w:r>
          </w:p>
        </w:tc>
      </w:tr>
      <w:tr>
        <w:trPr>
          <w:trHeight w:val="228"/>
        </w:trPr>
        <w:tc>
          <w:tcPr>
            <w:tcW w:w="2160" w:type="dxa"/>
            <w:vAlign w:val="bottom"/>
            <w:tcBorders>
              <w:bottom w:val="single" w:sz="8" w:color="CCEEFF"/>
            </w:tcBorders>
            <w:shd w:val="clear" w:color="auto" w:fill="CCEEFF"/>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219,825</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223,153</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216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69" w:lineRule="exact"/>
        <w:rPr>
          <w:sz w:val="20"/>
          <w:szCs w:val="20"/>
          <w:color w:val="auto"/>
        </w:rPr>
      </w:pPr>
    </w:p>
    <w:p>
      <w:pPr>
        <w:ind w:left="320" w:hanging="315"/>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loans receivable in each category to total loans receivable.</w:t>
      </w: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62" w:name="page63"/>
    <w:bookmarkEnd w:id="62"/>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ACL as a percentage of loans at the dates indicated, by portfolio sub-segment: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1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9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3"/>
        </w:trPr>
        <w:tc>
          <w:tcPr>
            <w:tcW w:w="69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Commercial:</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23"/>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23"/>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23"/>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Franchise and equipment finance</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12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17"/>
        </w:trPr>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commercial</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23"/>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Pinnacle - municipal finance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MWL</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120" w:type="dxa"/>
            <w:vAlign w:val="bottom"/>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w:t>
            </w:r>
          </w:p>
        </w:tc>
      </w:tr>
      <w:tr>
        <w:trPr>
          <w:trHeight w:val="217"/>
        </w:trPr>
        <w:tc>
          <w:tcPr>
            <w:tcW w:w="6940" w:type="dxa"/>
            <w:vAlign w:val="bottom"/>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12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0.92 %</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23"/>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ACL to non-performing loans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89.01 %</w:t>
            </w:r>
          </w:p>
        </w:tc>
      </w:tr>
      <w:tr>
        <w:trPr>
          <w:trHeight w:val="223"/>
        </w:trPr>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ACL to CRE office loans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r>
    </w:tbl>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ACL during the year ended December 31, 2025, are depicted in the chart below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105410</wp:posOffset>
            </wp:positionV>
            <wp:extent cx="5508625" cy="2829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08625" cy="282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Changes in the ACL during the year ended December 31, 2025</w:t>
      </w:r>
    </w:p>
    <w:p>
      <w:pPr>
        <w:spacing w:after="0" w:line="137" w:lineRule="exact"/>
        <w:rPr>
          <w:sz w:val="20"/>
          <w:szCs w:val="20"/>
          <w:color w:val="auto"/>
        </w:rPr>
      </w:pPr>
    </w:p>
    <w:p>
      <w:pPr>
        <w:ind w:firstLine="315"/>
        <w:spacing w:after="0" w:line="252" w:lineRule="auto"/>
        <w:rPr>
          <w:sz w:val="20"/>
          <w:szCs w:val="20"/>
          <w:color w:val="auto"/>
        </w:rPr>
      </w:pPr>
      <w:r>
        <w:rPr>
          <w:rFonts w:ascii="Times New Roman" w:cs="Times New Roman" w:eastAsia="Times New Roman" w:hAnsi="Times New Roman"/>
          <w:sz w:val="18"/>
          <w:szCs w:val="18"/>
          <w:color w:val="auto"/>
        </w:rPr>
        <w:t>As depicted in the chart above, the most significant factors impacting the ACL for the year ended December 31, 2025, were increases in specific reserves, partially offset by net charge-offs. The ACL was also impacted although to a lesser extent, by an increases in certain qualitative factors and risk rating migration and decreases related to (i) improvement in the economic forecast, (ii) changes in portfolio composition and borrower financial performance and (iii) routine modeling and assumption changes.</w:t>
      </w:r>
    </w:p>
    <w:p>
      <w:pPr>
        <w:spacing w:after="0" w:line="116" w:lineRule="exact"/>
        <w:rPr>
          <w:sz w:val="20"/>
          <w:szCs w:val="20"/>
          <w:color w:val="auto"/>
        </w:rPr>
      </w:pPr>
    </w:p>
    <w:p>
      <w:pPr>
        <w:jc w:val="both"/>
        <w:ind w:right="20" w:firstLine="315"/>
        <w:spacing w:after="0" w:line="252" w:lineRule="auto"/>
        <w:rPr>
          <w:sz w:val="20"/>
          <w:szCs w:val="20"/>
          <w:color w:val="auto"/>
        </w:rPr>
      </w:pPr>
      <w:r>
        <w:rPr>
          <w:rFonts w:ascii="Times New Roman" w:cs="Times New Roman" w:eastAsia="Times New Roman" w:hAnsi="Times New Roman"/>
          <w:sz w:val="18"/>
          <w:szCs w:val="18"/>
          <w:color w:val="auto"/>
        </w:rPr>
        <w:t>At December 31, 2025, the ratio of the ACL to loans was 0.91%, compared to 0.92% at December 31, 2024. The commercial ACL ratio, inclusive of C&amp;I, CRE, and franchise and equipment finance was 1.30% at December 31, 2025 compared to 1.37% at December 31, 2024. The ACL to loans ratio for CRE office loans was 2.03% at December 31, 2025 compared to 2.30% at December 31, 2024. Further discussion of changes in the ACL for select portfolio sub-segments follows:</w:t>
      </w:r>
    </w:p>
    <w:p>
      <w:pPr>
        <w:spacing w:after="0" w:line="116" w:lineRule="exact"/>
        <w:rPr>
          <w:sz w:val="20"/>
          <w:szCs w:val="20"/>
          <w:color w:val="auto"/>
        </w:rPr>
      </w:pPr>
    </w:p>
    <w:p>
      <w:pPr>
        <w:ind w:left="640" w:right="280" w:hanging="319"/>
        <w:spacing w:after="0" w:line="256" w:lineRule="auto"/>
        <w:tabs>
          <w:tab w:leader="none" w:pos="6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ACL for the CRE portfolio sub-segment decreased by $12.1 million during the year ended December 31, 2025, from 1.13% to 0.86% of loans, primarily a result of net charge-offs, partially offset by an increase in qualitative overlays related to the office sub-segment and New York rent regulated multi-family loans.</w:t>
      </w: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63" w:name="page64"/>
    <w:bookmarkEnd w:id="63"/>
    <w:p>
      <w:pPr>
        <w:ind w:left="640" w:right="120" w:hanging="319"/>
        <w:spacing w:after="0" w:line="256" w:lineRule="auto"/>
        <w:tabs>
          <w:tab w:leader="none" w:pos="6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ACL for the commercial and industrial sub-segment increased by $10.7 million during the year ended December 31, 2025, from 1.54% to 1.65% of loans. The increase was primarily a result of increases in specific reserves, offset by net charge-offs and improvement in current economic conditions and the economic forecast.</w:t>
      </w:r>
    </w:p>
    <w:p>
      <w:pPr>
        <w:spacing w:after="0" w:line="113" w:lineRule="exact"/>
        <w:rPr>
          <w:sz w:val="20"/>
          <w:szCs w:val="20"/>
          <w:color w:val="auto"/>
        </w:rPr>
      </w:pPr>
    </w:p>
    <w:p>
      <w:pPr>
        <w:jc w:val="both"/>
        <w:ind w:right="100" w:firstLine="315"/>
        <w:spacing w:after="0" w:line="252" w:lineRule="auto"/>
        <w:rPr>
          <w:sz w:val="20"/>
          <w:szCs w:val="20"/>
          <w:color w:val="auto"/>
        </w:rPr>
      </w:pPr>
      <w:r>
        <w:rPr>
          <w:rFonts w:ascii="Times New Roman" w:cs="Times New Roman" w:eastAsia="Times New Roman" w:hAnsi="Times New Roman"/>
          <w:sz w:val="18"/>
          <w:szCs w:val="18"/>
          <w:color w:val="auto"/>
        </w:rPr>
        <w:t>The quantitative estimate of the ACL at December 31, 2025, was informed by forecasted economic scenarios published in December 2025, a wide variety of additional economic data, information about borrower financial condition and collateral values, and other relevant information. The quantitative portion of the ACL at December 31, 2025, was modeled using a weighting of baseline, downside and upside third-party economic scenarios, with the highest weighting ascribed to the baseline scenario and lower weightings ascribed to the downside and upside scenarios.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Some of the high-level data points informing the baseline scenario used in estimating the quantitative portion of the ACL at December 31, 2025, included:</w:t>
      </w:r>
    </w:p>
    <w:p>
      <w:pPr>
        <w:spacing w:after="0" w:line="158" w:lineRule="exact"/>
        <w:rPr>
          <w:sz w:val="20"/>
          <w:szCs w:val="20"/>
          <w:color w:val="auto"/>
        </w:rPr>
      </w:pPr>
    </w:p>
    <w:p>
      <w:pPr>
        <w:ind w:left="640" w:hanging="3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market assumptions, which reflected national unemployment peaking at 4.8% and</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growth in national GDP averaging 2.1%.</w:t>
      </w:r>
    </w:p>
    <w:p>
      <w:pPr>
        <w:spacing w:after="0" w:line="148" w:lineRule="exact"/>
        <w:rPr>
          <w:sz w:val="20"/>
          <w:szCs w:val="20"/>
          <w:color w:val="auto"/>
        </w:rPr>
      </w:pPr>
    </w:p>
    <w:p>
      <w:pPr>
        <w:ind w:right="140" w:firstLine="315"/>
        <w:spacing w:after="0" w:line="288" w:lineRule="auto"/>
        <w:rPr>
          <w:sz w:val="20"/>
          <w:szCs w:val="20"/>
          <w:color w:val="auto"/>
        </w:rPr>
      </w:pPr>
      <w:r>
        <w:rPr>
          <w:rFonts w:ascii="Times New Roman" w:cs="Times New Roman" w:eastAsia="Times New Roman" w:hAnsi="Times New Roman"/>
          <w:sz w:val="16"/>
          <w:szCs w:val="16"/>
          <w:color w:val="auto"/>
        </w:rPr>
        <w:t>The above unemployment and GDP growth assumptions are provided to give a high level overview of the nature and severity of the baseline economic forecast scenario used in estimating the ACL. Numerous additional variables and assumptions not explicitly stated, including but not limited to detailed commercial and residential property forecasts, projected stock market performance and volatility indices and a variety of additional assumptions about market interest rates and spreads also contributed to the overall impact economic conditions and the economic forecast had on the ACL estimate. Furthermore, while the variables presented above are at the national level, many of the economic variables are regionalized at the market and submarket level in the models.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about the ACL, see Note 4 to the consolidated financial statements.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breakdown of deposits at the dates indicated is shown below:</w:t>
      </w:r>
    </w:p>
    <w:p>
      <w:pPr>
        <w:spacing w:after="0" w:line="396" w:lineRule="exact"/>
        <w:rPr>
          <w:sz w:val="20"/>
          <w:szCs w:val="20"/>
          <w:color w:val="auto"/>
        </w:rPr>
      </w:pPr>
    </w:p>
    <w:p>
      <w:pPr>
        <w:ind w:left="1160"/>
        <w:spacing w:after="0"/>
        <w:tabs>
          <w:tab w:leader="none" w:pos="5420" w:val="left"/>
        </w:tabs>
        <w:rPr>
          <w:sz w:val="20"/>
          <w:szCs w:val="20"/>
          <w:color w:val="auto"/>
        </w:rPr>
      </w:pPr>
      <w:r>
        <w:rPr>
          <w:rFonts w:ascii="Times New Roman" w:cs="Times New Roman" w:eastAsia="Times New Roman" w:hAnsi="Times New Roman"/>
          <w:sz w:val="18"/>
          <w:szCs w:val="18"/>
          <w:b w:val="1"/>
          <w:bCs w:val="1"/>
          <w:color w:val="01ABE6"/>
        </w:rPr>
        <w:t>December 31, 2025</w:t>
      </w:r>
      <w:r>
        <w:rPr>
          <w:sz w:val="20"/>
          <w:szCs w:val="20"/>
          <w:color w:val="auto"/>
        </w:rPr>
        <w:tab/>
      </w:r>
      <w:r>
        <w:rPr>
          <w:rFonts w:ascii="Times New Roman" w:cs="Times New Roman" w:eastAsia="Times New Roman" w:hAnsi="Times New Roman"/>
          <w:sz w:val="16"/>
          <w:szCs w:val="16"/>
          <w:b w:val="1"/>
          <w:bCs w:val="1"/>
          <w:color w:val="01ABE6"/>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466715" cy="17608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66715" cy="176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20" w:firstLine="315"/>
        <w:spacing w:after="0" w:line="256" w:lineRule="auto"/>
        <w:rPr>
          <w:sz w:val="20"/>
          <w:szCs w:val="20"/>
          <w:color w:val="auto"/>
        </w:rPr>
      </w:pPr>
      <w:r>
        <w:rPr>
          <w:rFonts w:ascii="Times New Roman" w:cs="Times New Roman" w:eastAsia="Times New Roman" w:hAnsi="Times New Roman"/>
          <w:sz w:val="18"/>
          <w:szCs w:val="18"/>
          <w:color w:val="auto"/>
        </w:rPr>
        <w:t>The Company has a diverse deposit book by industry sector. At December 31, 2025, our largest industry vertical was title insurance, with approximately $4.4 billion in total deposits. Deposits in the HOA vertical totaled $2.3 billion at December 31, 2025. Approximately 69% of our total deposits were commercial or municipal deposits at December 31, 2025.</w:t>
      </w:r>
    </w:p>
    <w:p>
      <w:pPr>
        <w:spacing w:after="0" w:line="113"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color w:val="auto"/>
        </w:rPr>
        <w:t>Brokered deposits totaled $4.9 billion and $5.2 billion at December 31, 2025 and 2024, respectively. Brokered deposits are generally insured and typically a readily available source of funds, however, they are typically higher cost and in some circumstances, credit sensitive. We are strategically focused on reducing the level of brokered deposits in the future.</w:t>
      </w: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64" w:name="page65"/>
    <w:bookmarkEnd w:id="64"/>
    <w:p>
      <w:pPr>
        <w:ind w:left="320"/>
        <w:spacing w:after="0"/>
        <w:rPr>
          <w:sz w:val="20"/>
          <w:szCs w:val="20"/>
          <w:color w:val="auto"/>
        </w:rPr>
      </w:pPr>
      <w:r>
        <w:rPr>
          <w:rFonts w:ascii="Times New Roman" w:cs="Times New Roman" w:eastAsia="Times New Roman" w:hAnsi="Times New Roman"/>
          <w:sz w:val="16"/>
          <w:szCs w:val="16"/>
          <w:color w:val="auto"/>
        </w:rPr>
        <w:t>The following graph presents trends in the deposit mix and cost of deposits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5683885" cy="20027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83885" cy="200279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right="640"/>
        <w:spacing w:after="0" w:line="238" w:lineRule="auto"/>
        <w:rPr>
          <w:sz w:val="20"/>
          <w:szCs w:val="20"/>
          <w:color w:val="auto"/>
        </w:rPr>
      </w:pPr>
      <w:r>
        <w:rPr>
          <w:rFonts w:ascii="Times New Roman" w:cs="Times New Roman" w:eastAsia="Times New Roman" w:hAnsi="Times New Roman"/>
          <w:sz w:val="18"/>
          <w:szCs w:val="18"/>
          <w:color w:val="auto"/>
        </w:rPr>
        <w:t>Quarterly average cost of deposits</w:t>
      </w:r>
    </w:p>
    <w:p>
      <w:pPr>
        <w:spacing w:after="0" w:line="2" w:lineRule="exact"/>
        <w:rPr>
          <w:sz w:val="20"/>
          <w:szCs w:val="20"/>
          <w:color w:val="auto"/>
        </w:rPr>
      </w:pPr>
    </w:p>
    <w:p>
      <w:pPr>
        <w:ind w:left="20" w:right="280"/>
        <w:spacing w:after="0" w:line="236" w:lineRule="auto"/>
        <w:rPr>
          <w:sz w:val="20"/>
          <w:szCs w:val="20"/>
          <w:color w:val="auto"/>
        </w:rPr>
      </w:pPr>
      <w:r>
        <w:rPr>
          <w:rFonts w:ascii="Times New Roman" w:cs="Times New Roman" w:eastAsia="Times New Roman" w:hAnsi="Times New Roman"/>
          <w:sz w:val="18"/>
          <w:szCs w:val="18"/>
          <w:color w:val="auto"/>
        </w:rPr>
        <w:t>Non-interest bearing as a % of total deposits</w:t>
      </w:r>
    </w:p>
    <w:p>
      <w:pPr>
        <w:ind w:left="20" w:right="560"/>
        <w:spacing w:after="0" w:line="236" w:lineRule="auto"/>
        <w:rPr>
          <w:sz w:val="20"/>
          <w:szCs w:val="20"/>
          <w:color w:val="auto"/>
        </w:rPr>
      </w:pPr>
      <w:r>
        <w:rPr>
          <w:rFonts w:ascii="Times New Roman" w:cs="Times New Roman" w:eastAsia="Times New Roman" w:hAnsi="Times New Roman"/>
          <w:sz w:val="18"/>
          <w:szCs w:val="18"/>
          <w:color w:val="auto"/>
        </w:rPr>
        <w:t>Spot average APY of total deposits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30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8"/>
              </w:rPr>
              <w:t>2.18%</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2.72%</w:t>
            </w:r>
          </w:p>
        </w:tc>
        <w:tc>
          <w:tcPr>
            <w:tcW w:w="1380" w:type="dxa"/>
            <w:vAlign w:val="bottom"/>
          </w:tcPr>
          <w:p>
            <w:pPr>
              <w:jc w:val="center"/>
              <w:ind w:left="832"/>
              <w:spacing w:after="0"/>
              <w:rPr>
                <w:sz w:val="20"/>
                <w:szCs w:val="20"/>
                <w:color w:val="auto"/>
              </w:rPr>
            </w:pPr>
            <w:r>
              <w:rPr>
                <w:rFonts w:ascii="Times New Roman" w:cs="Times New Roman" w:eastAsia="Times New Roman" w:hAnsi="Times New Roman"/>
                <w:sz w:val="18"/>
                <w:szCs w:val="18"/>
                <w:color w:val="auto"/>
                <w:w w:val="98"/>
              </w:rPr>
              <w:t>2.96%</w:t>
            </w:r>
          </w:p>
        </w:tc>
      </w:tr>
      <w:tr>
        <w:trPr>
          <w:trHeight w:val="499"/>
        </w:trPr>
        <w:tc>
          <w:tcPr>
            <w:tcW w:w="130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8"/>
              </w:rPr>
              <w:t>31.0%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27.3%</w:t>
            </w:r>
          </w:p>
        </w:tc>
        <w:tc>
          <w:tcPr>
            <w:tcW w:w="1380" w:type="dxa"/>
            <w:vAlign w:val="bottom"/>
          </w:tcPr>
          <w:p>
            <w:pPr>
              <w:jc w:val="center"/>
              <w:ind w:left="832"/>
              <w:spacing w:after="0"/>
              <w:rPr>
                <w:sz w:val="20"/>
                <w:szCs w:val="20"/>
                <w:color w:val="auto"/>
              </w:rPr>
            </w:pPr>
            <w:r>
              <w:rPr>
                <w:rFonts w:ascii="Times New Roman" w:cs="Times New Roman" w:eastAsia="Times New Roman" w:hAnsi="Times New Roman"/>
                <w:sz w:val="18"/>
                <w:szCs w:val="18"/>
                <w:color w:val="auto"/>
                <w:w w:val="98"/>
              </w:rPr>
              <w:t>25.8%</w:t>
            </w:r>
          </w:p>
        </w:tc>
      </w:tr>
      <w:tr>
        <w:trPr>
          <w:trHeight w:val="407"/>
        </w:trPr>
        <w:tc>
          <w:tcPr>
            <w:tcW w:w="130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rPr>
              <w:t>2.1%</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2.6%</w:t>
            </w:r>
          </w:p>
        </w:tc>
        <w:tc>
          <w:tcPr>
            <w:tcW w:w="1380" w:type="dxa"/>
            <w:vAlign w:val="bottom"/>
          </w:tcPr>
          <w:p>
            <w:pPr>
              <w:jc w:val="center"/>
              <w:ind w:left="832"/>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-775335</wp:posOffset>
            </wp:positionV>
            <wp:extent cx="5708650" cy="2584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8650" cy="25844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-257810</wp:posOffset>
            </wp:positionV>
            <wp:extent cx="5708650" cy="2584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8650" cy="258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720"/>
            <w:col w:w="8080"/>
          </w:cols>
          <w:pgMar w:left="320" w:top="1238" w:right="339" w:bottom="1440" w:gutter="0" w:footer="0" w:header="0"/>
          <w:type w:val="continuous"/>
        </w:sectPr>
      </w:pPr>
    </w:p>
    <w:p>
      <w:pPr>
        <w:spacing w:after="0" w:line="98" w:lineRule="exact"/>
        <w:rPr>
          <w:sz w:val="20"/>
          <w:szCs w:val="20"/>
          <w:color w:val="auto"/>
        </w:rPr>
      </w:pPr>
    </w:p>
    <w:p>
      <w:pPr>
        <w:ind w:right="20" w:firstLine="315"/>
        <w:spacing w:after="0" w:line="268" w:lineRule="auto"/>
        <w:rPr>
          <w:sz w:val="20"/>
          <w:szCs w:val="20"/>
          <w:color w:val="auto"/>
        </w:rPr>
      </w:pPr>
      <w:r>
        <w:rPr>
          <w:rFonts w:ascii="Times New Roman" w:cs="Times New Roman" w:eastAsia="Times New Roman" w:hAnsi="Times New Roman"/>
          <w:sz w:val="18"/>
          <w:szCs w:val="18"/>
          <w:color w:val="auto"/>
        </w:rPr>
        <w:t>Non-interest bearing demand deposits grew by 20%, or $1.5 billion during the year ended December 31, 2025. Total deposits grew by $1.5 billion and non-brokered deposits grew by $1.8 billion during the year ended December 31, 2025.</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insured and collateralized deposits as of December 31, 2025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29,352,905</w:t>
            </w:r>
          </w:p>
        </w:tc>
      </w:tr>
      <w:tr>
        <w:trPr>
          <w:trHeight w:val="263"/>
        </w:trPr>
        <w:tc>
          <w:tcPr>
            <w:tcW w:w="9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amount of uninsured deposits</w:t>
            </w: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15,393,835</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collateralized deposits</w:t>
            </w:r>
          </w:p>
        </w:tc>
        <w:tc>
          <w:tcPr>
            <w:tcW w:w="640" w:type="dxa"/>
            <w:vAlign w:val="bottom"/>
          </w:tcPr>
          <w:p>
            <w:pPr>
              <w:spacing w:after="0"/>
              <w:rPr>
                <w:sz w:val="19"/>
                <w:szCs w:val="19"/>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(3,076,388)</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affiliate deposits</w:t>
            </w:r>
          </w:p>
        </w:tc>
        <w:tc>
          <w:tcPr>
            <w:tcW w:w="6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(258,425)</w:t>
            </w:r>
          </w:p>
        </w:tc>
      </w:tr>
      <w:tr>
        <w:trPr>
          <w:trHeight w:val="217"/>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uninsured deposits</w:t>
            </w: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12,059,022</w:t>
            </w:r>
          </w:p>
        </w:tc>
      </w:tr>
      <w:tr>
        <w:trPr>
          <w:trHeight w:val="242"/>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insured and collateralized deposits</w:t>
            </w: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17,293,883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9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Insured and collateralized deposits to total deposits</w:t>
            </w:r>
          </w:p>
        </w:tc>
        <w:tc>
          <w:tcPr>
            <w:tcW w:w="6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right="100" w:firstLine="315"/>
        <w:spacing w:after="0" w:line="303" w:lineRule="auto"/>
        <w:rPr>
          <w:sz w:val="20"/>
          <w:szCs w:val="20"/>
          <w:color w:val="auto"/>
        </w:rPr>
      </w:pPr>
      <w:r>
        <w:rPr>
          <w:rFonts w:ascii="Times New Roman" w:cs="Times New Roman" w:eastAsia="Times New Roman" w:hAnsi="Times New Roman"/>
          <w:sz w:val="16"/>
          <w:szCs w:val="16"/>
          <w:color w:val="auto"/>
        </w:rPr>
        <w:t>The estimated amount of uninsured deposits at December 31, 2025 and 2024, was $15.4 billion and $13.7 billion, respectively. Collateralized and affiliate deposits are included in these amounts. Time deposit accounts with balances of $250,000 or more totaled $774 million and $779 million at December 31, 2025 and 2024, respectively. The following table shows scheduled maturities of estimated uninsured time deposits as of December 31, 2025 (in thousands):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or less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303,242</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362,129</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63,659</w:t>
            </w:r>
          </w:p>
        </w:tc>
      </w:tr>
      <w:tr>
        <w:trPr>
          <w:trHeight w:val="223"/>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twelve months</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w:t>
            </w:r>
          </w:p>
        </w:tc>
      </w:tr>
      <w:tr>
        <w:trPr>
          <w:trHeight w:val="242"/>
        </w:trPr>
        <w:tc>
          <w:tcPr>
            <w:tcW w:w="97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733,667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about Deposits, see Note 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type w:val="continuous"/>
        </w:sectPr>
      </w:pPr>
    </w:p>
    <w:bookmarkStart w:id="65" w:name="page66"/>
    <w:bookmarkEnd w:id="65"/>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18" w:lineRule="exact"/>
        <w:rPr>
          <w:sz w:val="20"/>
          <w:szCs w:val="20"/>
          <w:color w:val="auto"/>
        </w:rPr>
      </w:pPr>
    </w:p>
    <w:p>
      <w:pPr>
        <w:ind w:right="140" w:firstLine="315"/>
        <w:spacing w:after="0" w:line="252" w:lineRule="auto"/>
        <w:rPr>
          <w:sz w:val="20"/>
          <w:szCs w:val="20"/>
          <w:color w:val="auto"/>
        </w:rPr>
      </w:pPr>
      <w:r>
        <w:rPr>
          <w:rFonts w:ascii="Times New Roman" w:cs="Times New Roman" w:eastAsia="Times New Roman" w:hAnsi="Times New Roman"/>
          <w:sz w:val="18"/>
          <w:szCs w:val="18"/>
          <w:color w:val="auto"/>
        </w:rPr>
        <w:t>In addition to deposits, we utilize FHLB advances as a funding source; the advances provide us with additional flexibility in managing both term and cost of funding and in managing interest rate risk. FHLB advances are secured by qualifying residential first mortgage and commercial real estate loans and MBS. The following table presents information about the contractual balance and maturities of outstanding FHLB advances, as of December 31, 2025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216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Weighted Average Rate</w:t>
            </w:r>
          </w:p>
        </w:tc>
      </w:tr>
      <w:tr>
        <w:trPr>
          <w:trHeight w:val="24"/>
        </w:trPr>
        <w:tc>
          <w:tcPr>
            <w:tcW w:w="74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3"/>
        </w:trPr>
        <w:tc>
          <w:tcPr>
            <w:tcW w:w="742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Maturing in:</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One month or less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1,475,000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3.81 %</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Over one month</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r>
      <w:tr>
        <w:trPr>
          <w:trHeight w:val="217"/>
        </w:trPr>
        <w:tc>
          <w:tcPr>
            <w:tcW w:w="7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contractual balance outstanding</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1,555,000</w:t>
            </w: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0" w:firstLine="315"/>
        <w:spacing w:after="0" w:line="268" w:lineRule="auto"/>
        <w:rPr>
          <w:sz w:val="20"/>
          <w:szCs w:val="20"/>
          <w:color w:val="auto"/>
        </w:rPr>
      </w:pPr>
      <w:r>
        <w:rPr>
          <w:rFonts w:ascii="Times New Roman" w:cs="Times New Roman" w:eastAsia="Times New Roman" w:hAnsi="Times New Roman"/>
          <w:sz w:val="18"/>
          <w:szCs w:val="18"/>
          <w:color w:val="auto"/>
        </w:rPr>
        <w:t>The table above reflects contractual maturities of outstanding advances and does not incorporate the impact that interest rate swaps designated as cash flow hedges have on the duration or cost of borrowings.</w:t>
      </w:r>
    </w:p>
    <w:p>
      <w:pPr>
        <w:spacing w:after="0" w:line="103" w:lineRule="exact"/>
        <w:rPr>
          <w:sz w:val="20"/>
          <w:szCs w:val="20"/>
          <w:color w:val="auto"/>
        </w:rPr>
      </w:pPr>
    </w:p>
    <w:p>
      <w:pPr>
        <w:ind w:right="20" w:firstLine="315"/>
        <w:spacing w:after="0" w:line="268" w:lineRule="auto"/>
        <w:rPr>
          <w:sz w:val="20"/>
          <w:szCs w:val="20"/>
          <w:color w:val="auto"/>
        </w:rPr>
      </w:pPr>
      <w:r>
        <w:rPr>
          <w:rFonts w:ascii="Times New Roman" w:cs="Times New Roman" w:eastAsia="Times New Roman" w:hAnsi="Times New Roman"/>
          <w:sz w:val="18"/>
          <w:szCs w:val="18"/>
          <w:color w:val="auto"/>
        </w:rPr>
        <w:t>The table below presents information about outstanding interest rate swaps hedging the variability of interest cash flows on the FHLB advances included in the table above, as of December 31, 2025 (dollars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Pr>
          <w:p>
            <w:pPr>
              <w:spacing w:after="0"/>
              <w:rPr>
                <w:sz w:val="16"/>
                <w:szCs w:val="16"/>
                <w:color w:val="auto"/>
              </w:rPr>
            </w:pPr>
          </w:p>
        </w:tc>
        <w:tc>
          <w:tcPr>
            <w:tcW w:w="21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Weighted Average Rate</w:t>
            </w:r>
          </w:p>
        </w:tc>
      </w:tr>
      <w:tr>
        <w:trPr>
          <w:trHeight w:val="24"/>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3"/>
        </w:trPr>
        <w:tc>
          <w:tcPr>
            <w:tcW w:w="74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flow hedges maturing in:</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23"/>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1,430,000</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23"/>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17"/>
        </w:trPr>
        <w:tc>
          <w:tcPr>
            <w:tcW w:w="74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1,455,000</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10 to the consolidated financial statements and "Interest Rate Risk" below for more information about derivative instruments.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Outstanding notes payable and other borrowings consisted of the following at the dates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3"/>
        </w:trPr>
        <w:tc>
          <w:tcPr>
            <w:tcW w:w="79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Senior notes: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3"/>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amount of 4.875% senior notes maturing on November 17,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388,479</w:t>
            </w:r>
          </w:p>
        </w:tc>
      </w:tr>
      <w:tr>
        <w:trPr>
          <w:trHeight w:val="223"/>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7"/>
        </w:trPr>
        <w:tc>
          <w:tcPr>
            <w:tcW w:w="7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387,677</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amount of 5.125% subordinated notes maturing on June 11, 2030</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17"/>
        </w:trPr>
        <w:tc>
          <w:tcPr>
            <w:tcW w:w="79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296,857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296,247</w:t>
            </w:r>
          </w:p>
        </w:tc>
      </w:tr>
      <w:tr>
        <w:trPr>
          <w:trHeight w:val="21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683,924</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24,629</w:t>
            </w:r>
          </w:p>
        </w:tc>
      </w:tr>
      <w:tr>
        <w:trPr>
          <w:trHeight w:val="242"/>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and other borrowings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708,553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August 2025, the Company redeemed all of its outstanding senior notes due November 2025 at par value plus accrued interest.</w:t>
      </w: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52" w:lineRule="exact"/>
        <w:rPr>
          <w:sz w:val="20"/>
          <w:szCs w:val="20"/>
          <w:color w:val="auto"/>
        </w:rPr>
      </w:pPr>
    </w:p>
    <w:p>
      <w:pPr>
        <w:jc w:val="both"/>
        <w:ind w:right="240" w:firstLine="315"/>
        <w:spacing w:after="0" w:line="256" w:lineRule="auto"/>
        <w:rPr>
          <w:sz w:val="20"/>
          <w:szCs w:val="20"/>
          <w:color w:val="auto"/>
        </w:rPr>
      </w:pPr>
      <w:r>
        <w:rPr>
          <w:rFonts w:ascii="Times New Roman" w:cs="Times New Roman" w:eastAsia="Times New Roman" w:hAnsi="Times New Roman"/>
          <w:sz w:val="18"/>
          <w:szCs w:val="18"/>
          <w:color w:val="auto"/>
        </w:rPr>
        <w:t>Liquidity involves our ability to generate adequate funds to support planned interest earning asset growth, meet deposit withdrawal and credit line usage requests in both normal operating and stressed environments, maintain reserve requirements, conduct routine operations, pay dividends, service outstanding debt and meet other contractual obligations.</w:t>
      </w:r>
    </w:p>
    <w:p>
      <w:pPr>
        <w:spacing w:after="0" w:line="113" w:lineRule="exact"/>
        <w:rPr>
          <w:sz w:val="20"/>
          <w:szCs w:val="20"/>
          <w:color w:val="auto"/>
        </w:rPr>
      </w:pPr>
    </w:p>
    <w:p>
      <w:pPr>
        <w:jc w:val="both"/>
        <w:ind w:right="340" w:firstLine="315"/>
        <w:spacing w:after="0" w:line="256" w:lineRule="auto"/>
        <w:rPr>
          <w:sz w:val="20"/>
          <w:szCs w:val="20"/>
          <w:color w:val="auto"/>
        </w:rPr>
      </w:pPr>
      <w:r>
        <w:rPr>
          <w:rFonts w:ascii="Times New Roman" w:cs="Times New Roman" w:eastAsia="Times New Roman" w:hAnsi="Times New Roman"/>
          <w:sz w:val="18"/>
          <w:szCs w:val="18"/>
          <w:color w:val="auto"/>
        </w:rPr>
        <w:t>BankUnited's ongoing liquidity needs have historically been met primarily by cash flows from operations, deposit growth, the investment portfolio, its amortizing loan portfolio and FHLB advances. FRB discount window capacity, repurchase agreement capacity and a letter of credit with the FHLB provide additional sources of contingent liquidity.</w:t>
      </w:r>
    </w:p>
    <w:p>
      <w:pPr>
        <w:spacing w:after="0" w:line="100" w:lineRule="exact"/>
        <w:rPr>
          <w:sz w:val="20"/>
          <w:szCs w:val="20"/>
          <w:color w:val="auto"/>
        </w:rPr>
      </w:pPr>
    </w:p>
    <w:p>
      <w:pPr>
        <w:ind w:right="420" w:firstLine="315"/>
        <w:spacing w:after="0" w:line="252" w:lineRule="auto"/>
        <w:rPr>
          <w:sz w:val="20"/>
          <w:szCs w:val="20"/>
          <w:color w:val="auto"/>
        </w:rPr>
      </w:pPr>
      <w:r>
        <w:rPr>
          <w:rFonts w:ascii="Times New Roman" w:cs="Times New Roman" w:eastAsia="Times New Roman" w:hAnsi="Times New Roman"/>
          <w:sz w:val="18"/>
          <w:szCs w:val="18"/>
          <w:color w:val="auto"/>
        </w:rPr>
        <w:t>Same day available liquidity includes cash, secured funding such as borrowing capacity at the Federal Home Loan Bank of Atlanta and the Federal Reserve, and unpledged securities. Additional sources of liquidity include cash flows from operations, wholesale deposits, cash flow from the Bank's amortizing securities and loan portfolios, repurchase agreements and the sale of investment securities. Management also has the ability to exert substantial control over the rate and timing of loan production, and resultant requirements for liquidity to fund new loans.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chart presents the components of same day available liquidity at December 31, 2025 and 2024 (in millions):</w:t>
      </w:r>
    </w:p>
    <w:p>
      <w:pPr>
        <w:spacing w:after="0" w:line="18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01ABE6"/>
        </w:rPr>
        <w:t>Same Day Available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839210" cy="2153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39210" cy="215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firstLine="315"/>
        <w:spacing w:after="0" w:line="252" w:lineRule="auto"/>
        <w:rPr>
          <w:sz w:val="20"/>
          <w:szCs w:val="20"/>
          <w:color w:val="auto"/>
        </w:rPr>
      </w:pPr>
      <w:r>
        <w:rPr>
          <w:rFonts w:ascii="Times New Roman" w:cs="Times New Roman" w:eastAsia="Times New Roman" w:hAnsi="Times New Roman"/>
          <w:sz w:val="18"/>
          <w:szCs w:val="18"/>
          <w:color w:val="auto"/>
        </w:rPr>
        <w:t>The increase in same day available liquidity as compared to December 31, 2024 reflected the decline in outstanding FHLB advances, increasing FHLB capacity. At December 31, 2025, the ratio of estimated insured and collateralized deposits to total deposits was 59% and the ratio of available liquidity to estimated uninsured, uncollateralized deposits was 138%. As a commercially focused bank, due to the inherent nature of commercial deposits and the fact that deposit insurance is designed primarily to protect consumers, a significant portion of our deposits are uninsured.</w:t>
      </w:r>
    </w:p>
    <w:p>
      <w:pPr>
        <w:spacing w:after="0" w:line="182" w:lineRule="exact"/>
        <w:rPr>
          <w:sz w:val="20"/>
          <w:szCs w:val="20"/>
          <w:color w:val="auto"/>
        </w:rPr>
      </w:pPr>
    </w:p>
    <w:p>
      <w:pPr>
        <w:ind w:firstLine="315"/>
        <w:spacing w:after="0" w:line="248" w:lineRule="auto"/>
        <w:rPr>
          <w:sz w:val="20"/>
          <w:szCs w:val="20"/>
          <w:color w:val="auto"/>
        </w:rPr>
      </w:pPr>
      <w:r>
        <w:rPr>
          <w:rFonts w:ascii="Times New Roman" w:cs="Times New Roman" w:eastAsia="Times New Roman" w:hAnsi="Times New Roman"/>
          <w:sz w:val="18"/>
          <w:szCs w:val="18"/>
          <w:color w:val="auto"/>
        </w:rPr>
        <w:t>Our ALM policy establishes limits or operating risk thresholds for a number of measures of liquidity which are monitored at least monthly by the ALCO and quarterly by the Board of Directors. Some of the measures currently used to dimension liquidity risk and manage liquidity are a wholesale funding ratio, the ratio of available liquidity to uninsured/non-collateralized deposits, the ratio of available operational liquidity (which excludes availability at the FRB) to volatile liabilities, a liquidity stress test coverage ratio, the loan to deposit ratio, a one-year liquidity ratio, a measure of available on-balance sheet liquidity, the ratio of brokered deposits to total deposits and large depositor concentrations. We also have single depositor relationship limits. Our liquidity management framework incorporates a robust contingency funding plan and liquidity stress testing framework.</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67" w:name="page68"/>
    <w:bookmarkEnd w:id="67"/>
    <w:p>
      <w:pPr>
        <w:ind w:right="26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tables present some of the Company's liquidity measures, where applicable, their related policy limits and operating risk thresholds at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18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Policy Limit</w:t>
            </w:r>
          </w:p>
        </w:tc>
      </w:tr>
      <w:tr>
        <w:trPr>
          <w:trHeight w:val="24"/>
        </w:trPr>
        <w:tc>
          <w:tcPr>
            <w:tcW w:w="80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funding/total assets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&lt;37.5%</w:t>
            </w:r>
          </w:p>
        </w:tc>
      </w:tr>
      <w:tr>
        <w:trPr>
          <w:trHeight w:val="436"/>
        </w:trPr>
        <w:tc>
          <w:tcPr>
            <w:tcW w:w="8080" w:type="dxa"/>
            <w:vAlign w:val="bottom"/>
          </w:tcPr>
          <w:p>
            <w:pPr>
              <w:spacing w:after="0"/>
              <w:rPr>
                <w:sz w:val="24"/>
                <w:szCs w:val="24"/>
                <w:color w:val="auto"/>
              </w:rPr>
            </w:pPr>
          </w:p>
        </w:tc>
        <w:tc>
          <w:tcPr>
            <w:tcW w:w="18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Operating Threshold</w:t>
            </w:r>
          </w:p>
        </w:tc>
      </w:tr>
      <w:tr>
        <w:trPr>
          <w:trHeight w:val="24"/>
        </w:trPr>
        <w:tc>
          <w:tcPr>
            <w:tcW w:w="80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17"/>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operational liquidity/volatile liabilities</w:t>
            </w: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2.77x</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≥1.30x</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Liquidity stress test coverage ratio</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2.31x</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≥1.50x</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liquidity ratio</w:t>
            </w: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3.47x</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≥1.00x</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to deposit ratio</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82.7%</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Top 20 uninsured depositors to total deposits (excluding brokered &amp; municipal deposits)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on-balance sheet liquidity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8.2%</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liquidity to uninsured/non-collateralized deposits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bl>
    <w:p>
      <w:pPr>
        <w:spacing w:after="0" w:line="205" w:lineRule="exact"/>
        <w:rPr>
          <w:sz w:val="20"/>
          <w:szCs w:val="20"/>
          <w:color w:val="auto"/>
        </w:rPr>
      </w:pPr>
    </w:p>
    <w:p>
      <w:pPr>
        <w:ind w:right="40" w:firstLine="315"/>
        <w:spacing w:after="0" w:line="252" w:lineRule="auto"/>
        <w:rPr>
          <w:sz w:val="20"/>
          <w:szCs w:val="20"/>
          <w:color w:val="auto"/>
        </w:rPr>
      </w:pPr>
      <w:r>
        <w:rPr>
          <w:rFonts w:ascii="Times New Roman" w:cs="Times New Roman" w:eastAsia="Times New Roman" w:hAnsi="Times New Roman"/>
          <w:sz w:val="18"/>
          <w:szCs w:val="18"/>
          <w:color w:val="auto"/>
        </w:rPr>
        <w:t>As a holding company, BankUnited, Inc. is a corporation separate and apart from its banking subsidiary, and therefore, provides for its own liquidity. BankUnited, Inc.’s main sources of funds include management fees and dividends from the Bank and access to capital markets. There are regulatory limitations that may affect the ability of the Bank to pay dividends to BankUnited, Inc. Management believes that such limitations will not impact our ability to meet our ongoing cash obligations.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presents the Company's material contractual cash requirements for the following 12 months, as of December 31, 2025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deposits</w:t>
            </w:r>
            <w:r>
              <w:rPr>
                <w:rFonts w:ascii="Times New Roman" w:cs="Times New Roman" w:eastAsia="Times New Roman" w:hAnsi="Times New Roman"/>
                <w:sz w:val="22"/>
                <w:szCs w:val="22"/>
                <w:color w:val="auto"/>
                <w:vertAlign w:val="superscript"/>
              </w:rPr>
              <w:t>(1)</w:t>
            </w:r>
          </w:p>
        </w:tc>
        <w:tc>
          <w:tcPr>
            <w:tcW w:w="8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3,915,490</w:t>
            </w:r>
          </w:p>
        </w:tc>
      </w:tr>
      <w:tr>
        <w:trPr>
          <w:trHeight w:val="223"/>
        </w:trPr>
        <w:tc>
          <w:tcPr>
            <w:tcW w:w="90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FHLB advances</w:t>
            </w:r>
            <w:r>
              <w:rPr>
                <w:rFonts w:ascii="Times New Roman" w:cs="Times New Roman" w:eastAsia="Times New Roman" w:hAnsi="Times New Roman"/>
                <w:sz w:val="22"/>
                <w:szCs w:val="22"/>
                <w:color w:val="auto"/>
                <w:vertAlign w:val="superscript"/>
              </w:rPr>
              <w:t>(1)</w:t>
            </w: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1,558,138</w:t>
            </w:r>
          </w:p>
        </w:tc>
      </w:tr>
      <w:tr>
        <w:trPr>
          <w:trHeight w:val="223"/>
        </w:trPr>
        <w:tc>
          <w:tcPr>
            <w:tcW w:w="90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 and other borrowings</w:t>
            </w:r>
            <w:r>
              <w:rPr>
                <w:rFonts w:ascii="Times New Roman" w:cs="Times New Roman" w:eastAsia="Times New Roman" w:hAnsi="Times New Roman"/>
                <w:sz w:val="22"/>
                <w:szCs w:val="22"/>
                <w:color w:val="auto"/>
                <w:vertAlign w:val="superscript"/>
              </w:rPr>
              <w:t>(1)</w:t>
            </w: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18,577</w:t>
            </w:r>
          </w:p>
        </w:tc>
      </w:tr>
      <w:tr>
        <w:trPr>
          <w:trHeight w:val="223"/>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17,172</w:t>
            </w:r>
          </w:p>
        </w:tc>
      </w:tr>
      <w:tr>
        <w:trPr>
          <w:trHeight w:val="242"/>
        </w:trPr>
        <w:tc>
          <w:tcPr>
            <w:tcW w:w="3940" w:type="dxa"/>
            <w:vAlign w:val="bottom"/>
            <w:tcBorders>
              <w:bottom w:val="single" w:sz="8" w:color="CCEEFF"/>
            </w:tcBorders>
            <w:shd w:val="clear" w:color="auto" w:fill="CCEEFF"/>
          </w:tcPr>
          <w:p>
            <w:pPr>
              <w:spacing w:after="0"/>
              <w:rPr>
                <w:sz w:val="20"/>
                <w:szCs w:val="20"/>
                <w:color w:val="auto"/>
              </w:rPr>
            </w:pPr>
          </w:p>
        </w:tc>
        <w:tc>
          <w:tcPr>
            <w:tcW w:w="50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5,509,377</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3940" w:type="dxa"/>
            <w:vAlign w:val="bottom"/>
            <w:tcBorders>
              <w:bottom w:val="single" w:sz="8" w:color="auto"/>
            </w:tcBorders>
          </w:tcPr>
          <w:p>
            <w:pPr>
              <w:spacing w:after="0"/>
              <w:rPr>
                <w:sz w:val="12"/>
                <w:szCs w:val="12"/>
                <w:color w:val="auto"/>
              </w:rPr>
            </w:pPr>
          </w:p>
        </w:tc>
        <w:tc>
          <w:tcPr>
            <w:tcW w:w="5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r>
    </w:tbl>
    <w:p>
      <w:pPr>
        <w:spacing w:after="0" w:line="69" w:lineRule="exact"/>
        <w:rPr>
          <w:sz w:val="20"/>
          <w:szCs w:val="20"/>
          <w:color w:val="auto"/>
        </w:rPr>
      </w:pPr>
    </w:p>
    <w:p>
      <w:pPr>
        <w:ind w:left="320" w:hanging="315"/>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to be paid on the outstanding contractual obligations.</w:t>
      </w:r>
    </w:p>
    <w:p>
      <w:pPr>
        <w:spacing w:after="0" w:line="145" w:lineRule="exact"/>
        <w:rPr>
          <w:sz w:val="20"/>
          <w:szCs w:val="20"/>
          <w:color w:val="auto"/>
        </w:rPr>
      </w:pPr>
    </w:p>
    <w:p>
      <w:pPr>
        <w:ind w:right="300" w:firstLine="315"/>
        <w:spacing w:after="0" w:line="252" w:lineRule="auto"/>
        <w:rPr>
          <w:sz w:val="20"/>
          <w:szCs w:val="20"/>
          <w:color w:val="auto"/>
        </w:rPr>
      </w:pPr>
      <w:r>
        <w:rPr>
          <w:rFonts w:ascii="Times New Roman" w:cs="Times New Roman" w:eastAsia="Times New Roman" w:hAnsi="Times New Roman"/>
          <w:sz w:val="18"/>
          <w:szCs w:val="18"/>
          <w:color w:val="auto"/>
        </w:rPr>
        <w:t>The majority of term deposits and FHLB advances are expected to roll over into new instruments; this amount therefore does not represent future anticipated cash requirements. Additionally, as discussed in Note 15 to the consolidated financial statements, the Bank had $145 million in outstanding commitments to fund loans and $5.2 billion in unfunded commitments under existing lines of credit at December 31, 2025. Many of these commitments are expected to expire without being fully funded and, therefore, also do not necessarily represent future cash requirements.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139" w:lineRule="exact"/>
        <w:rPr>
          <w:sz w:val="20"/>
          <w:szCs w:val="20"/>
          <w:color w:val="auto"/>
        </w:rPr>
      </w:pPr>
    </w:p>
    <w:p>
      <w:pPr>
        <w:ind w:right="220" w:firstLine="315"/>
        <w:spacing w:after="0" w:line="293" w:lineRule="auto"/>
        <w:rPr>
          <w:sz w:val="20"/>
          <w:szCs w:val="20"/>
          <w:color w:val="auto"/>
        </w:rPr>
      </w:pPr>
      <w:r>
        <w:rPr>
          <w:rFonts w:ascii="Times New Roman" w:cs="Times New Roman" w:eastAsia="Times New Roman" w:hAnsi="Times New Roman"/>
          <w:sz w:val="16"/>
          <w:szCs w:val="16"/>
          <w:color w:val="auto"/>
        </w:rPr>
        <w:t>We have an active shelf registration statement on file with the SEC that allows the Company to periodically offer and sell in one or more offerings, individually or in any combination, our common stock, preferred stock and other non-equity securities. The shelf registration provides us with flexibility in issuing capital instruments and enables us to more readily access the capital markets as needed to pursue future growth opportunities and to ensure continued compliance with regulatory capital requirements. Our ability to issue securities pursuant to the shelf registration is subject to market conditions.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13 to the consolidated financial statements for more information about the Company's and the Bank's regulatory capital ratios.</w:t>
      </w: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37" w:lineRule="exact"/>
        <w:rPr>
          <w:sz w:val="20"/>
          <w:szCs w:val="20"/>
          <w:color w:val="auto"/>
        </w:rPr>
      </w:pPr>
    </w:p>
    <w:p>
      <w:pPr>
        <w:ind w:right="20" w:firstLine="315"/>
        <w:spacing w:after="0" w:line="248" w:lineRule="auto"/>
        <w:rPr>
          <w:sz w:val="20"/>
          <w:szCs w:val="20"/>
          <w:color w:val="auto"/>
        </w:rPr>
      </w:pPr>
      <w:r>
        <w:rPr>
          <w:rFonts w:ascii="Times New Roman" w:cs="Times New Roman" w:eastAsia="Times New Roman" w:hAnsi="Times New Roman"/>
          <w:sz w:val="18"/>
          <w:szCs w:val="18"/>
          <w:color w:val="auto"/>
        </w:rPr>
        <w:t>A principal component of the Company’s risk of loss arising from adverse changes in the fair value of financial instruments, or market risk, is interest rate risk, including the risk that assets and liabilities with similar re-pricing characteristics may not reprice at the same time or to the same degree. A primary objective of the Company’s asset/liability management activities is to maximize net interest income, while maintaining acceptable levels of interest rate risk. The ALCO is responsible for establishing policies to manage exposure to interest rate risk, and to ensure procedures are established to monitor compliance with these policies. The policies established by the ALCO are approved at least annually by the Board of Directors and its Risk Committee. The Board of Directors or its Risk Committee monitor compliance with these policies at least quarterly.</w:t>
      </w:r>
    </w:p>
    <w:p>
      <w:pPr>
        <w:spacing w:after="0" w:line="123" w:lineRule="exact"/>
        <w:rPr>
          <w:sz w:val="20"/>
          <w:szCs w:val="20"/>
          <w:color w:val="auto"/>
        </w:rPr>
      </w:pPr>
    </w:p>
    <w:p>
      <w:pPr>
        <w:ind w:right="260" w:firstLine="315"/>
        <w:spacing w:after="0" w:line="248" w:lineRule="auto"/>
        <w:rPr>
          <w:sz w:val="20"/>
          <w:szCs w:val="20"/>
          <w:color w:val="auto"/>
        </w:rPr>
      </w:pPr>
      <w:r>
        <w:rPr>
          <w:rFonts w:ascii="Times New Roman" w:cs="Times New Roman" w:eastAsia="Times New Roman" w:hAnsi="Times New Roman"/>
          <w:sz w:val="18"/>
          <w:szCs w:val="18"/>
          <w:color w:val="auto"/>
        </w:rPr>
        <w:t>Management believes that the simulation of net interest income in different interest rate environments provides the most meaningful measure of interest rate risk. Income simulation analysis is designed to capture not only the potential of all assets and liabilities to mature or reprice, but also the probability that they will do so. Income simulation also attends to the relative interest rate sensitivities of these items, and projects their behavior over an extended period of time. Finally, income simulation permits management to assess the probable effects on the balance sheet not only of changes in interest rates, but also of proposed strategies for responding to them. Simulation of changes in EVE in various interest rate environments is also a meaningful measure of interest rate risk.</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Simulation</w:t>
      </w:r>
    </w:p>
    <w:p>
      <w:pPr>
        <w:spacing w:after="0" w:line="139" w:lineRule="exact"/>
        <w:rPr>
          <w:sz w:val="20"/>
          <w:szCs w:val="20"/>
          <w:color w:val="auto"/>
        </w:rPr>
      </w:pPr>
    </w:p>
    <w:p>
      <w:pPr>
        <w:ind w:right="20" w:firstLine="315"/>
        <w:spacing w:after="0" w:line="246" w:lineRule="auto"/>
        <w:rPr>
          <w:sz w:val="20"/>
          <w:szCs w:val="20"/>
          <w:color w:val="auto"/>
        </w:rPr>
      </w:pPr>
      <w:r>
        <w:rPr>
          <w:rFonts w:ascii="Times New Roman" w:cs="Times New Roman" w:eastAsia="Times New Roman" w:hAnsi="Times New Roman"/>
          <w:sz w:val="18"/>
          <w:szCs w:val="18"/>
          <w:color w:val="auto"/>
        </w:rPr>
        <w:t>The income simulation model analyzes interest rate sensitivity by projecting net interest income over 12- and 24-month periods in a most likely rate scenario based on a consensus forward curve versus net interest income in alternative rate scenarios. Management continually reviews and refines its interest rate risk management processes in response to changes in the interest rate environment, the economic climate and observed customer behavior. Currently, our interest rate risk management framework is based on modeling instantaneous rate shocks to a static balance sheet, assuming that maturing instruments are replaced with like instruments at forward rates, of plus and minus 100, 200, 300 and 400 basis point parallel shifts. In lower interest rate environments, we may not model more extreme declining rate scenarios and in certain macro-environments, we may model shocks of more than 400 basis points. Our ALM policy has established limits for the plus and minus 100 and 200 basis points shock scenarios. We also model a variety of dynamic balance sheet scenarios, various yield curve slopes, non-parallel shifts and alternative depositor behavior, beta and decay assumptions. We continually evaluate the scenarios being modeled with a view toward adapting them to changing economic conditions, expectations and trends.</w:t>
      </w:r>
    </w:p>
    <w:p>
      <w:pPr>
        <w:spacing w:after="0" w:line="128" w:lineRule="exact"/>
        <w:rPr>
          <w:sz w:val="20"/>
          <w:szCs w:val="20"/>
          <w:color w:val="auto"/>
        </w:rPr>
      </w:pPr>
    </w:p>
    <w:p>
      <w:pPr>
        <w:ind w:right="18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impact on forecasted net interest income compared to a "most likely" scenario, based on the consensus forward curve, in static balance sheet, parallel rate shock scenarios of plus and minus 100 and 200 basis points at the dates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Down 200</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Down 100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Plus 100</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Plus 200</w:t>
            </w:r>
          </w:p>
        </w:tc>
      </w:tr>
      <w:tr>
        <w:trPr>
          <w:trHeight w:val="24"/>
        </w:trPr>
        <w:tc>
          <w:tcPr>
            <w:tcW w:w="6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3"/>
        </w:trPr>
        <w:tc>
          <w:tcPr>
            <w:tcW w:w="69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Policy Limits: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year 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year 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Model Results at December 31, 2025 - increase (decrease)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year 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3"/>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year 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Model Results at December 31, 2024 - increase (decrease)</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year 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3"/>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year 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EVE Simulation</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illustrates the modeled change in EVE in the indicated scenarios at the dates indicated:</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Down 200</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Down 100</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Plus 100</w:t>
            </w:r>
          </w:p>
        </w:tc>
        <w:tc>
          <w:tcPr>
            <w:tcW w:w="10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Plus 200</w:t>
            </w:r>
          </w:p>
        </w:tc>
      </w:tr>
      <w:tr>
        <w:trPr>
          <w:trHeight w:val="24"/>
        </w:trPr>
        <w:tc>
          <w:tcPr>
            <w:tcW w:w="6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Limits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Model Results at December 31, 2025 - increase (decrease):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Model Results at December 31, 2024 - increase (decrease):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of the modeled results at December 31, 2025 are within ALM policy limits.</w:t>
      </w: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69" w:name="page70"/>
    <w:bookmarkEnd w:id="69"/>
    <w:p>
      <w:pPr>
        <w:ind w:right="20" w:firstLine="315"/>
        <w:spacing w:after="0" w:line="249" w:lineRule="auto"/>
        <w:rPr>
          <w:sz w:val="20"/>
          <w:szCs w:val="20"/>
          <w:color w:val="auto"/>
        </w:rPr>
      </w:pPr>
      <w:r>
        <w:rPr>
          <w:rFonts w:ascii="Times New Roman" w:cs="Times New Roman" w:eastAsia="Times New Roman" w:hAnsi="Times New Roman"/>
          <w:sz w:val="18"/>
          <w:szCs w:val="18"/>
          <w:color w:val="auto"/>
        </w:rPr>
        <w:t>The Company uses many assumptions in estimating the impact of changes in interest rates on forecasted net interest income and EVE. Actual results may not be similar to the Company's projections due to many factors including but not limited to the timing and frequency of market rate changes, market conditions, unanticipated changes in depositor behavior and loan prepayment speeds, the shape of the yield curve, changes in balance sheet composition and the Company's actions in response to changing external and balance sheet dynamics. Some of the more significant assumptions used by the Company in estimating the impact of changes in interest rates on forecasted net interest income and EVE at December 31, 2025 were:</w:t>
      </w:r>
    </w:p>
    <w:p>
      <w:pPr>
        <w:spacing w:after="0" w:line="122" w:lineRule="exact"/>
        <w:rPr>
          <w:sz w:val="20"/>
          <w:szCs w:val="20"/>
          <w:color w:val="auto"/>
        </w:rPr>
      </w:pPr>
    </w:p>
    <w:p>
      <w:pPr>
        <w:ind w:left="640" w:right="500" w:hanging="319"/>
        <w:spacing w:after="0" w:line="268" w:lineRule="auto"/>
        <w:tabs>
          <w:tab w:leader="none" w:pos="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speeds for loans, with CPRs ranging from 5.6% to 12.03% depending on loan characteristics and the magnitude of the modeled rate shock;</w:t>
      </w:r>
    </w:p>
    <w:p>
      <w:pPr>
        <w:spacing w:after="0" w:line="102"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speeds for investment securities, with CPRs ranging from 5.24% to 13.5% depending on individual security collateral and characteristics and the magnitude of the modeled rate shock;</w:t>
      </w:r>
    </w:p>
    <w:p>
      <w:pPr>
        <w:spacing w:after="0" w:line="8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decay rates ranging between 10.8% and 16.4%, depending on the magnitude of the modeled rate shock; and</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non-maturity interest bearing deposit beta of 80%.</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Activities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Management continually evaluates a variety of hedging strategies that are available to manage interest rate risk.</w:t>
      </w:r>
    </w:p>
    <w:p>
      <w:pPr>
        <w:spacing w:after="0" w:line="148" w:lineRule="exact"/>
        <w:rPr>
          <w:sz w:val="20"/>
          <w:szCs w:val="20"/>
          <w:color w:val="auto"/>
        </w:rPr>
      </w:pPr>
    </w:p>
    <w:p>
      <w:pPr>
        <w:jc w:val="both"/>
        <w:ind w:right="500" w:firstLine="315"/>
        <w:spacing w:after="0" w:line="256" w:lineRule="auto"/>
        <w:rPr>
          <w:sz w:val="20"/>
          <w:szCs w:val="20"/>
          <w:color w:val="auto"/>
        </w:rPr>
      </w:pPr>
      <w:r>
        <w:rPr>
          <w:rFonts w:ascii="Times New Roman" w:cs="Times New Roman" w:eastAsia="Times New Roman" w:hAnsi="Times New Roman"/>
          <w:sz w:val="18"/>
          <w:szCs w:val="18"/>
          <w:color w:val="auto"/>
        </w:rPr>
        <w:t>Interest rate derivatives designated as cash flow or fair value hedging instruments are tools we may use to manage interest rate risk. These derivative instruments are used to mitigate exposure to changes in interest cash flows or the fair value of financial instruments caused by fluctuations in benchmark interest rates, as well as to manage duration of liabilities.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tables provide information about the Company's derivatives designated as cash flow hedges as of December 31, 2025 (dollars in thousands):</w:t>
      </w:r>
    </w:p>
    <w:p>
      <w:pPr>
        <w:sectPr>
          <w:pgSz w:w="11900" w:h="16838" w:orient="portrait"/>
          <w:cols w:equalWidth="0" w:num="1">
            <w:col w:w="11240"/>
          </w:cols>
          <w:pgMar w:left="320" w:top="11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right="400"/>
        <w:spacing w:after="0" w:line="293" w:lineRule="auto"/>
        <w:rPr>
          <w:sz w:val="20"/>
          <w:szCs w:val="20"/>
          <w:color w:val="auto"/>
        </w:rPr>
      </w:pPr>
      <w:r>
        <w:rPr>
          <w:rFonts w:ascii="Times New Roman" w:cs="Times New Roman" w:eastAsia="Times New Roman" w:hAnsi="Times New Roman"/>
          <w:sz w:val="14"/>
          <w:szCs w:val="14"/>
          <w:color w:val="auto"/>
        </w:rPr>
        <w:t>Pay-fixed interest rate swaps Pay-variable interest rate swaps</w:t>
      </w:r>
    </w:p>
    <w:p>
      <w:pPr>
        <w:spacing w:after="0" w:line="1" w:lineRule="exact"/>
        <w:rPr>
          <w:sz w:val="20"/>
          <w:szCs w:val="20"/>
          <w:color w:val="auto"/>
        </w:rPr>
      </w:pPr>
    </w:p>
    <w:p>
      <w:pPr>
        <w:ind w:left="120" w:right="60"/>
        <w:spacing w:after="0" w:line="244" w:lineRule="auto"/>
        <w:rPr>
          <w:sz w:val="20"/>
          <w:szCs w:val="20"/>
          <w:color w:val="auto"/>
        </w:rPr>
      </w:pPr>
      <w:r>
        <w:rPr>
          <w:rFonts w:ascii="Times New Roman" w:cs="Times New Roman" w:eastAsia="Times New Roman" w:hAnsi="Times New Roman"/>
          <w:sz w:val="14"/>
          <w:szCs w:val="14"/>
          <w:color w:val="auto"/>
        </w:rPr>
        <w:t>Forward starting pay-variable interest rate swaps</w:t>
      </w:r>
    </w:p>
    <w:p>
      <w:pPr>
        <w:spacing w:after="0" w:line="1" w:lineRule="exact"/>
        <w:rPr>
          <w:sz w:val="20"/>
          <w:szCs w:val="20"/>
          <w:color w:val="auto"/>
        </w:rPr>
      </w:pPr>
    </w:p>
    <w:p>
      <w:pPr>
        <w:ind w:left="120"/>
        <w:spacing w:after="0" w:line="248" w:lineRule="auto"/>
        <w:rPr>
          <w:sz w:val="20"/>
          <w:szCs w:val="20"/>
          <w:color w:val="auto"/>
        </w:rPr>
      </w:pPr>
      <w:r>
        <w:rPr>
          <w:rFonts w:ascii="Times New Roman" w:cs="Times New Roman" w:eastAsia="Times New Roman" w:hAnsi="Times New Roman"/>
          <w:sz w:val="14"/>
          <w:szCs w:val="14"/>
          <w:color w:val="auto"/>
        </w:rPr>
        <w:t>Interest rate collar, indexed to 1-month SOFR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3"/>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5"/>
        </w:trPr>
        <w:tc>
          <w:tcPr>
            <w:tcW w:w="436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Pay Rate /</w:t>
            </w:r>
          </w:p>
        </w:tc>
        <w:tc>
          <w:tcPr>
            <w:tcW w:w="13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Receive Rate /</w:t>
            </w:r>
          </w:p>
        </w:tc>
        <w:tc>
          <w:tcPr>
            <w:tcW w:w="9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2"/>
        </w:trPr>
        <w:tc>
          <w:tcPr>
            <w:tcW w:w="4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Strike Price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Strike Price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in Years</w:t>
            </w:r>
          </w:p>
        </w:tc>
        <w:tc>
          <w:tcPr>
            <w:tcW w:w="0" w:type="dxa"/>
            <w:vAlign w:val="bottom"/>
          </w:tcPr>
          <w:p>
            <w:pPr>
              <w:spacing w:after="0"/>
              <w:rPr>
                <w:sz w:val="1"/>
                <w:szCs w:val="1"/>
                <w:color w:val="auto"/>
              </w:rPr>
            </w:pPr>
          </w:p>
        </w:tc>
      </w:tr>
      <w:tr>
        <w:trPr>
          <w:trHeight w:val="181"/>
        </w:trPr>
        <w:tc>
          <w:tcPr>
            <w:tcW w:w="4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Variability of interest cash flows on variable rate borrowings</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1,455,000</w:t>
            </w:r>
          </w:p>
        </w:tc>
        <w:tc>
          <w:tcPr>
            <w:tcW w:w="10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3.48%</w:t>
            </w:r>
          </w:p>
        </w:tc>
        <w:tc>
          <w:tcPr>
            <w:tcW w:w="100" w:type="dxa"/>
            <w:vAlign w:val="bottom"/>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Daily SOFR</w:t>
            </w:r>
          </w:p>
        </w:tc>
        <w:tc>
          <w:tcPr>
            <w:tcW w:w="12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8"/>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Variability of interest cash flows on variable rate loans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2,100,000</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Term SOFR</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32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Variability of interest cash flows on variable rate loans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Term SOFR</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3.09%</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32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Variability of interest cash flows on variable rate loans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5.58%</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1.50%</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4"/>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4,680,000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-842010</wp:posOffset>
            </wp:positionV>
            <wp:extent cx="7136130" cy="133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133350"/>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-583565</wp:posOffset>
            </wp:positionV>
            <wp:extent cx="7136130" cy="2089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20891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-166370</wp:posOffset>
            </wp:positionV>
            <wp:extent cx="7136130" cy="150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120"/>
            <w:col w:w="8820"/>
          </w:cols>
          <w:pgMar w:left="320" w:top="1146" w:right="33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35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Variability of Interest Payment Cash Flows on Variable</w:t>
            </w:r>
          </w:p>
        </w:tc>
        <w:tc>
          <w:tcPr>
            <w:tcW w:w="346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Variability of Interest Payment Cash Flows on Variable</w:t>
            </w:r>
          </w:p>
        </w:tc>
      </w:tr>
      <w:tr>
        <w:trPr>
          <w:trHeight w:val="190"/>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Rate Loans</w:t>
            </w:r>
          </w:p>
        </w:tc>
        <w:tc>
          <w:tcPr>
            <w:tcW w:w="200" w:type="dxa"/>
            <w:vAlign w:val="bottom"/>
          </w:tcPr>
          <w:p>
            <w:pPr>
              <w:spacing w:after="0"/>
              <w:rPr>
                <w:sz w:val="16"/>
                <w:szCs w:val="16"/>
                <w:color w:val="auto"/>
              </w:rPr>
            </w:pPr>
          </w:p>
        </w:tc>
        <w:tc>
          <w:tcPr>
            <w:tcW w:w="3260" w:type="dxa"/>
            <w:vAlign w:val="bottom"/>
            <w:gridSpan w:val="3"/>
          </w:tcPr>
          <w:p>
            <w:pPr>
              <w:jc w:val="right"/>
              <w:ind w:right="1190"/>
              <w:spacing w:after="0"/>
              <w:rPr>
                <w:sz w:val="20"/>
                <w:szCs w:val="20"/>
                <w:color w:val="auto"/>
              </w:rPr>
            </w:pPr>
            <w:r>
              <w:rPr>
                <w:rFonts w:ascii="Times New Roman" w:cs="Times New Roman" w:eastAsia="Times New Roman" w:hAnsi="Times New Roman"/>
                <w:sz w:val="14"/>
                <w:szCs w:val="14"/>
                <w:b w:val="1"/>
                <w:bCs w:val="1"/>
                <w:color w:val="auto"/>
              </w:rPr>
              <w:t>Rate Liabilities</w:t>
            </w:r>
          </w:p>
        </w:tc>
      </w:tr>
      <w:tr>
        <w:trPr>
          <w:trHeight w:val="189"/>
        </w:trPr>
        <w:tc>
          <w:tcPr>
            <w:tcW w:w="42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Borders>
              <w:top w:val="single" w:sz="8" w:color="auto"/>
              <w:bottom w:val="single" w:sz="8" w:color="CCEEFF"/>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Weighted Average Rate</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Borders>
              <w:top w:val="single" w:sz="8" w:color="auto"/>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Weighted Average Rate</w:t>
            </w:r>
          </w:p>
        </w:tc>
      </w:tr>
      <w:tr>
        <w:trPr>
          <w:trHeight w:val="18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hedges maturing in:</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90"/>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First quarter 2026</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3.75 %</w:t>
            </w:r>
          </w:p>
        </w:tc>
      </w:tr>
      <w:tr>
        <w:trPr>
          <w:trHeight w:val="204"/>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Second quarter 2026</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r>
      <w:tr>
        <w:trPr>
          <w:trHeight w:val="190"/>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Third quarter 2026</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3.32 %</w:t>
            </w:r>
          </w:p>
        </w:tc>
      </w:tr>
      <w:tr>
        <w:trPr>
          <w:trHeight w:val="204"/>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Fourth quarter 2026</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3.33 %</w:t>
            </w:r>
          </w:p>
        </w:tc>
      </w:tr>
      <w:tr>
        <w:trPr>
          <w:trHeight w:val="190"/>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4"/>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0"/>
        </w:trPr>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2.50 %</w:t>
            </w:r>
          </w:p>
        </w:tc>
      </w:tr>
      <w:tr>
        <w:trPr>
          <w:trHeight w:val="215"/>
        </w:trPr>
        <w:tc>
          <w:tcPr>
            <w:tcW w:w="4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3,225,000</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1,455,000</w:t>
            </w: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218" w:lineRule="exact"/>
        <w:rPr>
          <w:sz w:val="20"/>
          <w:szCs w:val="20"/>
          <w:color w:val="auto"/>
        </w:rPr>
      </w:pPr>
    </w:p>
    <w:p>
      <w:pPr>
        <w:ind w:right="160" w:firstLine="315"/>
        <w:spacing w:after="0" w:line="268" w:lineRule="auto"/>
        <w:rPr>
          <w:sz w:val="20"/>
          <w:szCs w:val="20"/>
          <w:color w:val="auto"/>
        </w:rPr>
      </w:pPr>
      <w:r>
        <w:rPr>
          <w:rFonts w:ascii="Times New Roman" w:cs="Times New Roman" w:eastAsia="Times New Roman" w:hAnsi="Times New Roman"/>
          <w:sz w:val="18"/>
          <w:szCs w:val="18"/>
          <w:color w:val="auto"/>
        </w:rPr>
        <w:t>The short duration of our AFS investment portfolio (1.72 at December 31, 2025) also provides a natural offset from an interest rate risk perspective to the longer duration of the residential mortgage portfolio.</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10 to the consolidated financial statements for additional information about derivative financial instruments.</w:t>
      </w: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37" w:lineRule="exact"/>
        <w:rPr>
          <w:sz w:val="20"/>
          <w:szCs w:val="20"/>
          <w:color w:val="auto"/>
        </w:rPr>
      </w:pPr>
    </w:p>
    <w:p>
      <w:pPr>
        <w:ind w:right="160" w:firstLine="315"/>
        <w:spacing w:after="0" w:line="256" w:lineRule="auto"/>
        <w:rPr>
          <w:sz w:val="20"/>
          <w:szCs w:val="20"/>
          <w:color w:val="auto"/>
        </w:rPr>
      </w:pPr>
      <w:r>
        <w:rPr>
          <w:rFonts w:ascii="Times New Roman" w:cs="Times New Roman" w:eastAsia="Times New Roman" w:hAnsi="Times New Roman"/>
          <w:sz w:val="18"/>
          <w:szCs w:val="18"/>
          <w:color w:val="auto"/>
        </w:rPr>
        <w:t>Tangible book value per common share is a non-GAAP financial measure. Management believes this measure is relevant to understanding the capital position and performance of the Company. Disclosure of this non-GAAP financial measure also provides a meaningful basis for comparison to other financial institutions as it is a metric commonly used in the banking industry.</w:t>
      </w:r>
    </w:p>
    <w:p>
      <w:pPr>
        <w:spacing w:after="0" w:line="113" w:lineRule="exact"/>
        <w:rPr>
          <w:sz w:val="20"/>
          <w:szCs w:val="20"/>
          <w:color w:val="auto"/>
        </w:rPr>
      </w:pPr>
    </w:p>
    <w:p>
      <w:pPr>
        <w:ind w:firstLine="315"/>
        <w:spacing w:after="0" w:line="252" w:lineRule="auto"/>
        <w:rPr>
          <w:sz w:val="20"/>
          <w:szCs w:val="20"/>
          <w:color w:val="auto"/>
        </w:rPr>
      </w:pPr>
      <w:r>
        <w:rPr>
          <w:rFonts w:ascii="Times New Roman" w:cs="Times New Roman" w:eastAsia="Times New Roman" w:hAnsi="Times New Roman"/>
          <w:sz w:val="18"/>
          <w:szCs w:val="18"/>
          <w:color w:val="auto"/>
        </w:rPr>
        <w:t>PPNR is a non-GAAP financial measure. Management believes this measure is relevant to understanding the performance of the Company attributable to elements other than the provision for credit losses and the ability of the Company to generate earnings sufficient to cover estimated credit losses. This measure also provides a meaningful basis for comparison to other financial institutions since it is commonly employed and is a measure frequently cited by investors and analysts.</w:t>
      </w:r>
    </w:p>
    <w:p>
      <w:pPr>
        <w:spacing w:after="0" w:line="116" w:lineRule="exact"/>
        <w:rPr>
          <w:sz w:val="20"/>
          <w:szCs w:val="20"/>
          <w:color w:val="auto"/>
        </w:rPr>
      </w:pPr>
    </w:p>
    <w:p>
      <w:pPr>
        <w:ind w:right="34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tables reconcile the non-GAAP financial measurement to the comparable GAAP financial measurements at the dates and for the periods indicated (in thousands except share and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43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3,053,829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2,814,318</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goodwill and other intangible assets</w:t>
            </w:r>
          </w:p>
        </w:tc>
        <w:tc>
          <w:tcPr>
            <w:tcW w:w="30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77,637</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77,637</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stockholders’ equity</w:t>
            </w:r>
          </w:p>
        </w:tc>
        <w:tc>
          <w:tcPr>
            <w:tcW w:w="3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2,976,192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2,736,681</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issued and outstanding</w:t>
            </w:r>
          </w:p>
        </w:tc>
        <w:tc>
          <w:tcPr>
            <w:tcW w:w="3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74,138,066</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74,748,370</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per common share</w:t>
            </w:r>
          </w:p>
        </w:tc>
        <w:tc>
          <w:tcPr>
            <w:tcW w:w="332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8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book value per common share</w:t>
            </w:r>
          </w:p>
        </w:tc>
        <w:tc>
          <w:tcPr>
            <w:tcW w:w="31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361,746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316,349</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0" w:type="dxa"/>
            <w:vAlign w:val="bottom"/>
          </w:tcPr>
          <w:p>
            <w:pPr>
              <w:spacing w:after="0"/>
              <w:rPr>
                <w:sz w:val="1"/>
                <w:szCs w:val="1"/>
                <w:color w:val="auto"/>
              </w:rPr>
            </w:pPr>
          </w:p>
        </w:tc>
      </w:tr>
      <w:tr>
        <w:trPr>
          <w:trHeight w:val="242"/>
        </w:trPr>
        <w:tc>
          <w:tcPr>
            <w:tcW w:w="4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PPNR</w:t>
            </w:r>
          </w:p>
        </w:tc>
        <w:tc>
          <w:tcPr>
            <w:tcW w:w="30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371,421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1492"/>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3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9A9A9A"/>
            </w:tcBorders>
          </w:tcPr>
          <w:p>
            <w:pPr>
              <w:spacing w:after="0"/>
              <w:rPr>
                <w:sz w:val="21"/>
                <w:szCs w:val="21"/>
                <w:color w:val="auto"/>
              </w:rPr>
            </w:pPr>
          </w:p>
        </w:tc>
        <w:tc>
          <w:tcPr>
            <w:tcW w:w="306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58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50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107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7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auto"/>
              </w:rPr>
              <w:t>See the section entitled “Interest Rate Risk” included in Item 7. “Management’s Discussion and Analysis of Financial Condition and Results of</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Operations.”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107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2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88"/>
              </w:rPr>
              <w:t>Pag</w:t>
            </w:r>
          </w:p>
        </w:tc>
        <w:tc>
          <w:tcPr>
            <w:tcW w:w="0" w:type="dxa"/>
            <w:vAlign w:val="bottom"/>
          </w:tcPr>
          <w:p>
            <w:pPr>
              <w:spacing w:after="0"/>
              <w:rPr>
                <w:sz w:val="1"/>
                <w:szCs w:val="1"/>
                <w:color w:val="auto"/>
              </w:rPr>
            </w:pPr>
          </w:p>
        </w:tc>
      </w:tr>
      <w:tr>
        <w:trPr>
          <w:trHeight w:val="189"/>
        </w:trPr>
        <w:tc>
          <w:tcPr>
            <w:tcW w:w="10720" w:type="dxa"/>
            <w:vAlign w:val="bottom"/>
            <w:gridSpan w:val="23"/>
          </w:tcPr>
          <w:p>
            <w:pPr>
              <w:ind w:left="340"/>
              <w:spacing w:after="0" w:line="189"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38"/>
        </w:trPr>
        <w:tc>
          <w:tcPr>
            <w:tcW w:w="10720" w:type="dxa"/>
            <w:vAlign w:val="bottom"/>
            <w:gridSpan w:val="23"/>
          </w:tcPr>
          <w:p>
            <w:pPr>
              <w:ind w:left="340"/>
              <w:spacing w:after="0"/>
              <w:rPr>
                <w:sz w:val="20"/>
                <w:szCs w:val="20"/>
                <w:color w:val="auto"/>
              </w:rPr>
            </w:pPr>
            <w:r>
              <w:rPr>
                <w:rFonts w:ascii="Times New Roman" w:cs="Times New Roman" w:eastAsia="Times New Roman" w:hAnsi="Times New Roman"/>
                <w:sz w:val="18"/>
                <w:szCs w:val="18"/>
                <w:i w:val="1"/>
                <w:iCs w:val="1"/>
                <w:color w:val="auto"/>
              </w:rPr>
              <w:t>BankUnited, Inc. Consolidated Financial Statements for the Years ended December 31, 2025, 2024 and 2023</w:t>
            </w:r>
          </w:p>
        </w:tc>
        <w:tc>
          <w:tcPr>
            <w:tcW w:w="460" w:type="dxa"/>
            <w:vAlign w:val="bottom"/>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03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5"/>
                <w:szCs w:val="15"/>
                <w:color w:val="000000"/>
              </w:rPr>
              <w:t>(Deloitte and Touche LLP, Miami, FL. Auditor Firm ID: 34)</w:t>
            </w: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103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Consolidated Balance Sheets as of December 31, 2025 and December 31, 2024</w:t>
            </w:r>
          </w:p>
        </w:tc>
        <w:tc>
          <w:tcPr>
            <w:tcW w:w="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6420" w:type="dxa"/>
            <w:vAlign w:val="bottom"/>
            <w:gridSpan w:val="18"/>
          </w:tcPr>
          <w:p>
            <w:pPr>
              <w:spacing w:after="0" w:line="203" w:lineRule="exact"/>
              <w:rPr>
                <w:sz w:val="20"/>
                <w:szCs w:val="20"/>
                <w:color w:val="auto"/>
              </w:rPr>
            </w:pPr>
            <w:r>
              <w:rPr>
                <w:rFonts w:ascii="Times New Roman" w:cs="Times New Roman" w:eastAsia="Times New Roman" w:hAnsi="Times New Roman"/>
                <w:sz w:val="18"/>
                <w:szCs w:val="18"/>
                <w:color w:val="0000FF"/>
                <w:w w:val="96"/>
              </w:rPr>
              <w:t>Consolidated Statements of Income for the years ended December 31, 2025, 2024 and 2023</w:t>
            </w:r>
          </w:p>
        </w:tc>
        <w:tc>
          <w:tcPr>
            <w:tcW w:w="3940" w:type="dxa"/>
            <w:vAlign w:val="bottom"/>
            <w:gridSpan w:val="4"/>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103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6720" w:type="dxa"/>
            <w:vAlign w:val="bottom"/>
            <w:gridSpan w:val="19"/>
          </w:tcPr>
          <w:p>
            <w:pPr>
              <w:spacing w:after="0" w:line="203" w:lineRule="exact"/>
              <w:rPr>
                <w:sz w:val="20"/>
                <w:szCs w:val="20"/>
                <w:color w:val="auto"/>
              </w:rPr>
            </w:pPr>
            <w:r>
              <w:rPr>
                <w:rFonts w:ascii="Times New Roman" w:cs="Times New Roman" w:eastAsia="Times New Roman" w:hAnsi="Times New Roman"/>
                <w:sz w:val="18"/>
                <w:szCs w:val="18"/>
                <w:color w:val="0000FF"/>
                <w:w w:val="96"/>
              </w:rPr>
              <w:t>Consolidated Statements of Cash Flows for the years ended December 31, 2025, 2024 and 2023</w:t>
            </w:r>
          </w:p>
        </w:tc>
        <w:tc>
          <w:tcPr>
            <w:tcW w:w="840" w:type="dxa"/>
            <w:vAlign w:val="bottom"/>
            <w:gridSpan w:val="2"/>
          </w:tcPr>
          <w:p>
            <w:pPr>
              <w:spacing w:after="0"/>
              <w:rPr>
                <w:sz w:val="17"/>
                <w:szCs w:val="17"/>
                <w:color w:val="auto"/>
              </w:rPr>
            </w:pPr>
          </w:p>
        </w:tc>
        <w:tc>
          <w:tcPr>
            <w:tcW w:w="280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103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3000" w:type="dxa"/>
            <w:vAlign w:val="bottom"/>
            <w:gridSpan w:val="10"/>
          </w:tcPr>
          <w:p>
            <w:pPr>
              <w:spacing w:after="0" w:line="203" w:lineRule="exact"/>
              <w:rPr>
                <w:sz w:val="20"/>
                <w:szCs w:val="20"/>
                <w:color w:val="auto"/>
              </w:rPr>
            </w:pPr>
            <w:r>
              <w:rPr>
                <w:rFonts w:ascii="Times New Roman" w:cs="Times New Roman" w:eastAsia="Times New Roman" w:hAnsi="Times New Roman"/>
                <w:sz w:val="18"/>
                <w:szCs w:val="18"/>
                <w:color w:val="0000FF"/>
                <w:w w:val="93"/>
              </w:rPr>
              <w:t>Notes to Consolidated Financial Statements</w:t>
            </w:r>
          </w:p>
        </w:tc>
        <w:tc>
          <w:tcPr>
            <w:tcW w:w="4340" w:type="dxa"/>
            <w:vAlign w:val="bottom"/>
            <w:gridSpan w:val="10"/>
          </w:tcPr>
          <w:p>
            <w:pPr>
              <w:spacing w:after="0"/>
              <w:rPr>
                <w:sz w:val="17"/>
                <w:szCs w:val="17"/>
                <w:color w:val="auto"/>
              </w:rPr>
            </w:pPr>
          </w:p>
        </w:tc>
        <w:tc>
          <w:tcPr>
            <w:tcW w:w="3020" w:type="dxa"/>
            <w:vAlign w:val="bottom"/>
            <w:gridSpan w:val="2"/>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8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Note 1 Basis of Presentation and Summary of Significant Accounting Policies</w:t>
            </w:r>
          </w:p>
        </w:tc>
        <w:tc>
          <w:tcPr>
            <w:tcW w:w="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gridSpan w:val="16"/>
          </w:tcPr>
          <w:p>
            <w:pPr>
              <w:spacing w:after="0" w:line="203" w:lineRule="exact"/>
              <w:rPr>
                <w:sz w:val="20"/>
                <w:szCs w:val="20"/>
                <w:color w:val="auto"/>
              </w:rPr>
            </w:pPr>
            <w:r>
              <w:rPr>
                <w:rFonts w:ascii="Times New Roman" w:cs="Times New Roman" w:eastAsia="Times New Roman" w:hAnsi="Times New Roman"/>
                <w:sz w:val="18"/>
                <w:szCs w:val="18"/>
                <w:color w:val="0000FF"/>
              </w:rPr>
              <w:t>Note 2 Earnings Per Common Share</w:t>
            </w:r>
          </w:p>
        </w:tc>
        <w:tc>
          <w:tcPr>
            <w:tcW w:w="4820" w:type="dxa"/>
            <w:vAlign w:val="bottom"/>
            <w:gridSpan w:val="5"/>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86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5"/>
          </w:tcPr>
          <w:p>
            <w:pPr>
              <w:spacing w:after="0" w:line="203" w:lineRule="exact"/>
              <w:rPr>
                <w:sz w:val="20"/>
                <w:szCs w:val="20"/>
                <w:color w:val="auto"/>
              </w:rPr>
            </w:pPr>
            <w:r>
              <w:rPr>
                <w:rFonts w:ascii="Times New Roman" w:cs="Times New Roman" w:eastAsia="Times New Roman" w:hAnsi="Times New Roman"/>
                <w:sz w:val="18"/>
                <w:szCs w:val="18"/>
                <w:color w:val="0000FF"/>
                <w:w w:val="95"/>
              </w:rPr>
              <w:t>Note 3 Investment Securities</w:t>
            </w:r>
          </w:p>
        </w:tc>
        <w:tc>
          <w:tcPr>
            <w:tcW w:w="520" w:type="dxa"/>
            <w:vAlign w:val="bottom"/>
            <w:gridSpan w:val="3"/>
          </w:tcPr>
          <w:p>
            <w:pPr>
              <w:spacing w:after="0"/>
              <w:rPr>
                <w:sz w:val="17"/>
                <w:szCs w:val="17"/>
                <w:color w:val="auto"/>
              </w:rPr>
            </w:pPr>
          </w:p>
        </w:tc>
        <w:tc>
          <w:tcPr>
            <w:tcW w:w="7740" w:type="dxa"/>
            <w:vAlign w:val="bottom"/>
            <w:gridSpan w:val="13"/>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0000FF"/>
              </w:rPr>
              <w:t>87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4 Loans and Allowance for Credit Losses</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92</w:t>
            </w: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8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Note 5 Leases</w:t>
            </w:r>
          </w:p>
        </w:tc>
        <w:tc>
          <w:tcPr>
            <w:tcW w:w="620" w:type="dxa"/>
            <w:vAlign w:val="bottom"/>
            <w:gridSpan w:val="2"/>
          </w:tcPr>
          <w:p>
            <w:pPr>
              <w:jc w:val="center"/>
              <w:ind w:left="292"/>
              <w:spacing w:after="0" w:line="203" w:lineRule="exact"/>
              <w:rPr>
                <w:sz w:val="20"/>
                <w:szCs w:val="20"/>
                <w:color w:val="auto"/>
              </w:rPr>
            </w:pPr>
            <w:r>
              <w:rPr>
                <w:rFonts w:ascii="Times New Roman" w:cs="Times New Roman" w:eastAsia="Times New Roman" w:hAnsi="Times New Roman"/>
                <w:sz w:val="18"/>
                <w:szCs w:val="18"/>
                <w:color w:val="0000FF"/>
                <w:w w:val="88"/>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Note 6 Deposits</w:t>
            </w:r>
          </w:p>
        </w:tc>
        <w:tc>
          <w:tcPr>
            <w:tcW w:w="9160" w:type="dxa"/>
            <w:vAlign w:val="bottom"/>
            <w:gridSpan w:val="19"/>
          </w:tcPr>
          <w:p>
            <w:pPr>
              <w:spacing w:after="0"/>
              <w:rPr>
                <w:sz w:val="24"/>
                <w:szCs w:val="24"/>
                <w:color w:val="auto"/>
              </w:rPr>
            </w:pPr>
          </w:p>
        </w:tc>
        <w:tc>
          <w:tcPr>
            <w:tcW w:w="620" w:type="dxa"/>
            <w:vAlign w:val="bottom"/>
            <w:gridSpan w:val="2"/>
            <w:vMerge w:val="restart"/>
          </w:tcPr>
          <w:p>
            <w:pPr>
              <w:jc w:val="center"/>
              <w:ind w:left="292"/>
              <w:spacing w:after="0"/>
              <w:rPr>
                <w:sz w:val="20"/>
                <w:szCs w:val="20"/>
                <w:color w:val="auto"/>
              </w:rPr>
            </w:pPr>
            <w:r>
              <w:rPr>
                <w:rFonts w:ascii="Times New Roman" w:cs="Times New Roman" w:eastAsia="Times New Roman" w:hAnsi="Times New Roman"/>
                <w:sz w:val="18"/>
                <w:szCs w:val="18"/>
                <w:color w:val="0000FF"/>
                <w:w w:val="88"/>
              </w:rPr>
              <w:t>10</w:t>
            </w: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Note 7 Borrowings</w:t>
            </w: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80" w:type="dxa"/>
            <w:vAlign w:val="bottom"/>
            <w:gridSpan w:val="21"/>
            <w:vMerge w:val="continue"/>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80" w:type="dxa"/>
            <w:vAlign w:val="bottom"/>
            <w:gridSpan w:val="21"/>
            <w:vMerge w:val="continue"/>
          </w:tcPr>
          <w:p>
            <w:pPr>
              <w:spacing w:after="0"/>
              <w:rPr>
                <w:sz w:val="24"/>
                <w:szCs w:val="24"/>
                <w:color w:val="auto"/>
              </w:rPr>
            </w:pPr>
          </w:p>
        </w:tc>
        <w:tc>
          <w:tcPr>
            <w:tcW w:w="620" w:type="dxa"/>
            <w:vAlign w:val="bottom"/>
            <w:gridSpan w:val="2"/>
            <w:vMerge w:val="restart"/>
          </w:tcPr>
          <w:p>
            <w:pPr>
              <w:jc w:val="center"/>
              <w:ind w:left="292"/>
              <w:spacing w:after="0"/>
              <w:rPr>
                <w:sz w:val="20"/>
                <w:szCs w:val="20"/>
                <w:color w:val="auto"/>
              </w:rPr>
            </w:pPr>
            <w:r>
              <w:rPr>
                <w:rFonts w:ascii="Times New Roman" w:cs="Times New Roman" w:eastAsia="Times New Roman" w:hAnsi="Times New Roman"/>
                <w:sz w:val="18"/>
                <w:szCs w:val="18"/>
                <w:color w:val="0000FF"/>
                <w:w w:val="88"/>
              </w:rPr>
              <w:t>10</w:t>
            </w: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8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Note 8 Premises, Equipment and Software</w:t>
            </w:r>
          </w:p>
        </w:tc>
        <w:tc>
          <w:tcPr>
            <w:tcW w:w="620" w:type="dxa"/>
            <w:vAlign w:val="bottom"/>
            <w:gridSpan w:val="2"/>
          </w:tcPr>
          <w:p>
            <w:pPr>
              <w:jc w:val="center"/>
              <w:ind w:left="292"/>
              <w:spacing w:after="0" w:line="203" w:lineRule="exact"/>
              <w:rPr>
                <w:sz w:val="20"/>
                <w:szCs w:val="20"/>
                <w:color w:val="auto"/>
              </w:rPr>
            </w:pPr>
            <w:r>
              <w:rPr>
                <w:rFonts w:ascii="Times New Roman" w:cs="Times New Roman" w:eastAsia="Times New Roman" w:hAnsi="Times New Roman"/>
                <w:sz w:val="18"/>
                <w:szCs w:val="18"/>
                <w:color w:val="0000FF"/>
                <w:w w:val="88"/>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0000FF"/>
              </w:rPr>
              <w:t>Note 9 Income Taxes</w:t>
            </w:r>
          </w:p>
        </w:tc>
        <w:tc>
          <w:tcPr>
            <w:tcW w:w="7360" w:type="dxa"/>
            <w:vAlign w:val="bottom"/>
            <w:gridSpan w:val="12"/>
          </w:tcPr>
          <w:p>
            <w:pPr>
              <w:spacing w:after="0"/>
              <w:rPr>
                <w:sz w:val="17"/>
                <w:szCs w:val="17"/>
                <w:color w:val="auto"/>
              </w:rPr>
            </w:pPr>
          </w:p>
        </w:tc>
        <w:tc>
          <w:tcPr>
            <w:tcW w:w="620" w:type="dxa"/>
            <w:vAlign w:val="bottom"/>
            <w:gridSpan w:val="2"/>
          </w:tcPr>
          <w:p>
            <w:pPr>
              <w:jc w:val="center"/>
              <w:ind w:left="292"/>
              <w:spacing w:after="0" w:line="203" w:lineRule="exact"/>
              <w:rPr>
                <w:sz w:val="20"/>
                <w:szCs w:val="20"/>
                <w:color w:val="auto"/>
              </w:rPr>
            </w:pPr>
            <w:r>
              <w:rPr>
                <w:rFonts w:ascii="Times New Roman" w:cs="Times New Roman" w:eastAsia="Times New Roman" w:hAnsi="Times New Roman"/>
                <w:sz w:val="18"/>
                <w:szCs w:val="18"/>
                <w:color w:val="0000FF"/>
                <w:w w:val="88"/>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8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Note 10 Derivatives and Hedging Activities</w:t>
            </w:r>
          </w:p>
        </w:tc>
        <w:tc>
          <w:tcPr>
            <w:tcW w:w="620" w:type="dxa"/>
            <w:vAlign w:val="bottom"/>
            <w:gridSpan w:val="2"/>
          </w:tcPr>
          <w:p>
            <w:pPr>
              <w:jc w:val="center"/>
              <w:ind w:left="292"/>
              <w:spacing w:after="0" w:line="203" w:lineRule="exact"/>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0000FF"/>
                <w:w w:val="96"/>
              </w:rPr>
              <w:t>Note 11 Stockholders’ Equity</w:t>
            </w:r>
          </w:p>
        </w:tc>
        <w:tc>
          <w:tcPr>
            <w:tcW w:w="980" w:type="dxa"/>
            <w:vAlign w:val="bottom"/>
            <w:gridSpan w:val="4"/>
          </w:tcPr>
          <w:p>
            <w:pPr>
              <w:spacing w:after="0"/>
              <w:rPr>
                <w:sz w:val="17"/>
                <w:szCs w:val="17"/>
                <w:color w:val="auto"/>
              </w:rPr>
            </w:pPr>
          </w:p>
        </w:tc>
        <w:tc>
          <w:tcPr>
            <w:tcW w:w="7220" w:type="dxa"/>
            <w:vAlign w:val="bottom"/>
            <w:gridSpan w:val="11"/>
          </w:tcPr>
          <w:p>
            <w:pPr>
              <w:spacing w:after="0"/>
              <w:rPr>
                <w:sz w:val="17"/>
                <w:szCs w:val="17"/>
                <w:color w:val="auto"/>
              </w:rPr>
            </w:pPr>
          </w:p>
        </w:tc>
        <w:tc>
          <w:tcPr>
            <w:tcW w:w="620" w:type="dxa"/>
            <w:vAlign w:val="bottom"/>
            <w:gridSpan w:val="2"/>
          </w:tcPr>
          <w:p>
            <w:pPr>
              <w:jc w:val="center"/>
              <w:ind w:left="292"/>
              <w:spacing w:after="0" w:line="203" w:lineRule="exact"/>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w w:val="95"/>
              </w:rPr>
              <w:t>Note 12 Equity Based and Other Compensation Plans</w:t>
            </w:r>
          </w:p>
        </w:tc>
        <w:tc>
          <w:tcPr>
            <w:tcW w:w="6540" w:type="dxa"/>
            <w:vAlign w:val="bottom"/>
            <w:gridSpan w:val="8"/>
          </w:tcPr>
          <w:p>
            <w:pPr>
              <w:spacing w:after="0"/>
              <w:rPr>
                <w:sz w:val="17"/>
                <w:szCs w:val="17"/>
                <w:color w:val="auto"/>
              </w:rPr>
            </w:pPr>
          </w:p>
        </w:tc>
        <w:tc>
          <w:tcPr>
            <w:tcW w:w="620" w:type="dxa"/>
            <w:vAlign w:val="bottom"/>
            <w:gridSpan w:val="2"/>
          </w:tcPr>
          <w:p>
            <w:pPr>
              <w:jc w:val="center"/>
              <w:ind w:left="292"/>
              <w:spacing w:after="0" w:line="203" w:lineRule="exact"/>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gridSpan w:val="7"/>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Note 13 Regulatory Requirements and Restrictions</w:t>
            </w:r>
          </w:p>
        </w:tc>
        <w:tc>
          <w:tcPr>
            <w:tcW w:w="6540" w:type="dxa"/>
            <w:vAlign w:val="bottom"/>
            <w:gridSpan w:val="8"/>
          </w:tcPr>
          <w:p>
            <w:pPr>
              <w:spacing w:after="0"/>
              <w:rPr>
                <w:sz w:val="17"/>
                <w:szCs w:val="17"/>
                <w:color w:val="auto"/>
              </w:rPr>
            </w:pPr>
          </w:p>
        </w:tc>
        <w:tc>
          <w:tcPr>
            <w:tcW w:w="620" w:type="dxa"/>
            <w:vAlign w:val="bottom"/>
            <w:gridSpan w:val="2"/>
          </w:tcPr>
          <w:p>
            <w:pPr>
              <w:jc w:val="center"/>
              <w:ind w:left="292"/>
              <w:spacing w:after="0" w:line="203" w:lineRule="exact"/>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gridSpan w:val="12"/>
          </w:tcPr>
          <w:p>
            <w:pPr>
              <w:spacing w:after="0" w:line="203" w:lineRule="exact"/>
              <w:rPr>
                <w:sz w:val="20"/>
                <w:szCs w:val="20"/>
                <w:color w:val="auto"/>
              </w:rPr>
            </w:pPr>
            <w:r>
              <w:rPr>
                <w:rFonts w:ascii="Times New Roman" w:cs="Times New Roman" w:eastAsia="Times New Roman" w:hAnsi="Times New Roman"/>
                <w:sz w:val="18"/>
                <w:szCs w:val="18"/>
                <w:color w:val="0000FF"/>
              </w:rPr>
              <w:t>Note 14 Fair Value Measurements</w:t>
            </w:r>
          </w:p>
        </w:tc>
        <w:tc>
          <w:tcPr>
            <w:tcW w:w="6720" w:type="dxa"/>
            <w:vAlign w:val="bottom"/>
            <w:gridSpan w:val="9"/>
          </w:tcPr>
          <w:p>
            <w:pPr>
              <w:spacing w:after="0"/>
              <w:rPr>
                <w:sz w:val="17"/>
                <w:szCs w:val="17"/>
                <w:color w:val="auto"/>
              </w:rPr>
            </w:pPr>
          </w:p>
        </w:tc>
        <w:tc>
          <w:tcPr>
            <w:tcW w:w="620" w:type="dxa"/>
            <w:vAlign w:val="bottom"/>
            <w:gridSpan w:val="2"/>
          </w:tcPr>
          <w:p>
            <w:pPr>
              <w:jc w:val="center"/>
              <w:ind w:left="292"/>
              <w:spacing w:after="0" w:line="203" w:lineRule="exact"/>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gridSpan w:val="7"/>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8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Note 15 Commitments and Contingencies</w:t>
            </w:r>
          </w:p>
        </w:tc>
        <w:tc>
          <w:tcPr>
            <w:tcW w:w="620" w:type="dxa"/>
            <w:vAlign w:val="bottom"/>
            <w:gridSpan w:val="2"/>
          </w:tcPr>
          <w:p>
            <w:pPr>
              <w:jc w:val="center"/>
              <w:ind w:left="292"/>
              <w:spacing w:after="0" w:line="203" w:lineRule="exact"/>
              <w:rPr>
                <w:sz w:val="20"/>
                <w:szCs w:val="20"/>
                <w:color w:val="auto"/>
              </w:rPr>
            </w:pPr>
            <w:r>
              <w:rPr>
                <w:rFonts w:ascii="Times New Roman" w:cs="Times New Roman" w:eastAsia="Times New Roman" w:hAnsi="Times New Roman"/>
                <w:sz w:val="18"/>
                <w:szCs w:val="18"/>
                <w:color w:val="0000FF"/>
                <w:w w:val="88"/>
              </w:rPr>
              <w:t>12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gridSpan w:val="15"/>
          </w:tcPr>
          <w:p>
            <w:pPr>
              <w:spacing w:after="0" w:line="203" w:lineRule="exact"/>
              <w:rPr>
                <w:sz w:val="20"/>
                <w:szCs w:val="20"/>
                <w:color w:val="auto"/>
              </w:rPr>
            </w:pPr>
            <w:r>
              <w:rPr>
                <w:rFonts w:ascii="Times New Roman" w:cs="Times New Roman" w:eastAsia="Times New Roman" w:hAnsi="Times New Roman"/>
                <w:sz w:val="18"/>
                <w:szCs w:val="18"/>
                <w:color w:val="0000FF"/>
                <w:w w:val="96"/>
              </w:rPr>
              <w:t>Note 16 Condensed Financial Statements of BankUnited, Inc.</w:t>
            </w:r>
          </w:p>
        </w:tc>
        <w:tc>
          <w:tcPr>
            <w:tcW w:w="5960" w:type="dxa"/>
            <w:vAlign w:val="bottom"/>
            <w:gridSpan w:val="6"/>
          </w:tcPr>
          <w:p>
            <w:pPr>
              <w:spacing w:after="0"/>
              <w:rPr>
                <w:sz w:val="17"/>
                <w:szCs w:val="17"/>
                <w:color w:val="auto"/>
              </w:rPr>
            </w:pPr>
          </w:p>
        </w:tc>
        <w:tc>
          <w:tcPr>
            <w:tcW w:w="620" w:type="dxa"/>
            <w:vAlign w:val="bottom"/>
            <w:gridSpan w:val="2"/>
          </w:tcPr>
          <w:p>
            <w:pPr>
              <w:jc w:val="center"/>
              <w:ind w:left="292"/>
              <w:spacing w:after="0" w:line="203" w:lineRule="exact"/>
              <w:rPr>
                <w:sz w:val="20"/>
                <w:szCs w:val="20"/>
                <w:color w:val="auto"/>
              </w:rPr>
            </w:pPr>
            <w:r>
              <w:rPr>
                <w:rFonts w:ascii="Times New Roman" w:cs="Times New Roman" w:eastAsia="Times New Roman" w:hAnsi="Times New Roman"/>
                <w:sz w:val="18"/>
                <w:szCs w:val="18"/>
                <w:color w:val="0000FF"/>
                <w:w w:val="88"/>
              </w:rPr>
              <w:t>12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13"/>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w w:val="96"/>
              </w:rPr>
              <w:t>Note 17 Quarterly Financial Information (Unaudited)</w:t>
            </w:r>
          </w:p>
        </w:tc>
        <w:tc>
          <w:tcPr>
            <w:tcW w:w="580" w:type="dxa"/>
            <w:vAlign w:val="bottom"/>
            <w:gridSpan w:val="2"/>
          </w:tcPr>
          <w:p>
            <w:pPr>
              <w:spacing w:after="0"/>
              <w:rPr>
                <w:sz w:val="17"/>
                <w:szCs w:val="17"/>
                <w:color w:val="auto"/>
              </w:rPr>
            </w:pPr>
          </w:p>
        </w:tc>
        <w:tc>
          <w:tcPr>
            <w:tcW w:w="5960" w:type="dxa"/>
            <w:vAlign w:val="bottom"/>
            <w:gridSpan w:val="6"/>
          </w:tcPr>
          <w:p>
            <w:pPr>
              <w:spacing w:after="0"/>
              <w:rPr>
                <w:sz w:val="17"/>
                <w:szCs w:val="17"/>
                <w:color w:val="auto"/>
              </w:rPr>
            </w:pPr>
          </w:p>
        </w:tc>
        <w:tc>
          <w:tcPr>
            <w:tcW w:w="620" w:type="dxa"/>
            <w:vAlign w:val="bottom"/>
            <w:gridSpan w:val="2"/>
          </w:tcPr>
          <w:p>
            <w:pPr>
              <w:jc w:val="center"/>
              <w:ind w:left="292"/>
              <w:spacing w:after="0" w:line="203" w:lineRule="exact"/>
              <w:rPr>
                <w:sz w:val="20"/>
                <w:szCs w:val="20"/>
                <w:color w:val="auto"/>
              </w:rPr>
            </w:pPr>
            <w:r>
              <w:rPr>
                <w:rFonts w:ascii="Times New Roman" w:cs="Times New Roman" w:eastAsia="Times New Roman" w:hAnsi="Times New Roman"/>
                <w:sz w:val="18"/>
                <w:szCs w:val="18"/>
                <w:color w:val="0000FF"/>
                <w:w w:val="88"/>
              </w:rPr>
              <w:t>12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23" w:right="239" w:bottom="1440" w:gutter="0" w:footer="0" w:header="0"/>
        </w:sectPr>
      </w:pPr>
    </w:p>
    <w:bookmarkStart w:id="72" w:name="page73"/>
    <w:bookmarkEnd w:id="7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50"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the Securities Exchange Act of 1934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ind w:right="20" w:firstLine="434"/>
        <w:spacing w:after="0" w:line="293" w:lineRule="auto"/>
        <w:rPr>
          <w:sz w:val="20"/>
          <w:szCs w:val="20"/>
          <w:color w:val="auto"/>
        </w:rPr>
      </w:pPr>
      <w:r>
        <w:rPr>
          <w:rFonts w:ascii="Times New Roman" w:cs="Times New Roman" w:eastAsia="Times New Roman" w:hAnsi="Times New Roman"/>
          <w:sz w:val="16"/>
          <w:szCs w:val="16"/>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management, including the Company's principal executive officer and principal financial officer, the Company conducted an evaluation of the effectiveness of the Company's internal control over financial reporting based on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Based on the Company's evaluation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framework in Internal Control—Integrated Framework, management concluded that the Company's internal control over financial reporting was effective as of December 31, 2025.</w:t>
      </w:r>
    </w:p>
    <w:p>
      <w:pPr>
        <w:spacing w:after="0" w:line="122"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Deloitte and Touche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4" w:right="359" w:bottom="1440" w:gutter="0" w:footer="0" w:header="0"/>
        </w:sectPr>
      </w:pPr>
    </w:p>
    <w:bookmarkStart w:id="73" w:name="page74"/>
    <w:bookmarkEnd w:id="7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BankUnited, Inc.:</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37"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BankUnited, Inc. and subsidiaries (the "Company") as of December 31, 2025 and 2024, the related consolidated statements of income, comprehensive income, cash flows, and stockholders' equity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9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26, 2026, expressed an unqualified opinion on the Company's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7"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3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Refer to Notes 1 and 4 to the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3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allowance for credit losses (“ACL”) is management's estimate of the current amount of expected credit losses over the life of the loan portfolio, or the amount of amortized cost basis not expected to be collected, at the balance sheet date. Determining the amount of the ACL is complex and requires extensive judgment by management about matters that are inherently subjective and uncertain. The measurement of expected credit losses encompasses information about historical events, current conditions and reasonable and supportable economic forecasts. Factors that may be considered in determining the amount of the ACL include but are not limited to, product or collateral type, industry, geography, internal risk rating, credit characteristics such as credit scores or collateral values, delinquency rates, historical or expected credit loss patterns and other quantitative and qualitative factors considered to have an impact on the adequacy of the ACL and the ability of borrowers to repay their loans. The adequacy of the ACL is also dependent on the effectiveness of the underlying models used in determining the estimate.</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74" w:name="page75"/>
    <w:bookmarkEnd w:id="74"/>
    <w:p>
      <w:pPr>
        <w:ind w:right="60"/>
        <w:spacing w:after="0" w:line="247" w:lineRule="auto"/>
        <w:rPr>
          <w:sz w:val="20"/>
          <w:szCs w:val="20"/>
          <w:color w:val="auto"/>
        </w:rPr>
      </w:pPr>
      <w:r>
        <w:rPr>
          <w:rFonts w:ascii="Times New Roman" w:cs="Times New Roman" w:eastAsia="Times New Roman" w:hAnsi="Times New Roman"/>
          <w:sz w:val="18"/>
          <w:szCs w:val="18"/>
          <w:color w:val="auto"/>
        </w:rPr>
        <w:t>Expected credit losses are estimated over the contractual terms of the loans using econometric models, adjusted for expected prepayments. The models employ a factor-based methodology, leveraging data sets containing extensive historical loss and recovery information by industry, geography, product type, collateral type and obligor characteristics, to estimate probability of default (“PD”) and loss given default (“LGD”). Projected PDs and LGDs, determined based on pool level characteristics, are applied to estimated exposure at default. Measures of PD incorporate current conditions through market cycle or credit cycle adjustments. PDs and LGDs are then conditioned on the reasonable and supportable economic forecast. For criticized or classified loans, PDs are adjusted to benchmark PDs established for each risk rating as the most current financial information available is deemed not to be reflective of the borrowers' current financial condition. For non-accrual or doubtful rated distressed loans above a certain threshold, an individual assessment is performed to determine expected credit losses.</w:t>
      </w:r>
    </w:p>
    <w:p>
      <w:pPr>
        <w:spacing w:after="0" w:line="12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Given the complex nature of estimating the ACL, performing audit procedures to evaluate whether the ACL was appropriately recorded as of December 31, 2025 required a high degree of auditor judgment and an increased extent of effort.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to test the ACL for the loan portfolio included the following, among others:</w:t>
      </w:r>
    </w:p>
    <w:p>
      <w:pPr>
        <w:spacing w:after="0" w:line="148" w:lineRule="exact"/>
        <w:rPr>
          <w:sz w:val="20"/>
          <w:szCs w:val="20"/>
          <w:color w:val="auto"/>
        </w:rPr>
      </w:pPr>
    </w:p>
    <w:p>
      <w:pPr>
        <w:ind w:left="640" w:hanging="319"/>
        <w:spacing w:after="0" w:line="268" w:lineRule="auto"/>
        <w:tabs>
          <w:tab w:leader="none" w:pos="6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ACL including management’s controls over data transfers into and out of the models, final quantitative model results, and application of any adjustments.</w:t>
      </w:r>
    </w:p>
    <w:p>
      <w:pPr>
        <w:spacing w:after="0" w:line="129" w:lineRule="exact"/>
        <w:rPr>
          <w:rFonts w:ascii="Times New Roman" w:cs="Times New Roman" w:eastAsia="Times New Roman" w:hAnsi="Times New Roman"/>
          <w:sz w:val="18"/>
          <w:szCs w:val="18"/>
          <w:color w:val="auto"/>
        </w:rPr>
      </w:pPr>
    </w:p>
    <w:p>
      <w:pPr>
        <w:ind w:left="640" w:right="100" w:hanging="319"/>
        <w:spacing w:after="0" w:line="234" w:lineRule="auto"/>
        <w:tabs>
          <w:tab w:leader="none" w:pos="635" w:val="left"/>
        </w:tabs>
        <w:numPr>
          <w:ilvl w:val="0"/>
          <w:numId w:val="38"/>
        </w:numPr>
        <w:rPr>
          <w:rFonts w:ascii="Arial" w:cs="Arial" w:eastAsia="Arial" w:hAnsi="Arial"/>
          <w:sz w:val="21"/>
          <w:szCs w:val="21"/>
          <w:color w:val="auto"/>
        </w:rPr>
      </w:pPr>
      <w:r>
        <w:rPr>
          <w:rFonts w:ascii="Times New Roman" w:cs="Times New Roman" w:eastAsia="Times New Roman" w:hAnsi="Times New Roman"/>
          <w:sz w:val="18"/>
          <w:szCs w:val="18"/>
          <w:color w:val="auto"/>
        </w:rPr>
        <w:t>We tested the completeness and accuracy of the data used in the models and engaged specialists to perform a sensitivity analysis over certain changes within the models.</w:t>
      </w:r>
    </w:p>
    <w:p>
      <w:pPr>
        <w:spacing w:after="0" w:line="114" w:lineRule="exact"/>
        <w:rPr>
          <w:rFonts w:ascii="Arial" w:cs="Arial" w:eastAsia="Arial" w:hAnsi="Arial"/>
          <w:sz w:val="21"/>
          <w:szCs w:val="21"/>
          <w:color w:val="auto"/>
        </w:rPr>
      </w:pPr>
    </w:p>
    <w:p>
      <w:pPr>
        <w:ind w:left="640" w:hanging="319"/>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qualitative adjustments within the ACL estimate.</w:t>
      </w:r>
    </w:p>
    <w:p>
      <w:pPr>
        <w:spacing w:after="0" w:line="147" w:lineRule="exact"/>
        <w:rPr>
          <w:rFonts w:ascii="Times New Roman" w:cs="Times New Roman" w:eastAsia="Times New Roman" w:hAnsi="Times New Roman"/>
          <w:sz w:val="18"/>
          <w:szCs w:val="18"/>
          <w:color w:val="auto"/>
        </w:rPr>
      </w:pPr>
    </w:p>
    <w:p>
      <w:pPr>
        <w:ind w:left="640" w:right="100" w:hanging="319"/>
        <w:spacing w:after="0" w:line="256" w:lineRule="auto"/>
        <w:tabs>
          <w:tab w:leader="none" w:pos="6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a sample of non-pass loans by assessing the factors utilized during the Company’s assessment of the reserves associated with the loans, assessed the appropriateness of risk ratings, and evaluated the financial performance of the borrowers as well as the associated collateral, and the timeliness of the associated ACL.</w:t>
      </w:r>
    </w:p>
    <w:p>
      <w:pPr>
        <w:spacing w:after="0" w:line="200" w:lineRule="exact"/>
        <w:rPr>
          <w:sz w:val="20"/>
          <w:szCs w:val="20"/>
          <w:color w:val="auto"/>
        </w:rPr>
      </w:pPr>
    </w:p>
    <w:p>
      <w:pPr>
        <w:spacing w:after="0" w:line="2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34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46" w:right="37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BankUnited, Inc.</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84" w:lineRule="exact"/>
        <w:rPr>
          <w:sz w:val="20"/>
          <w:szCs w:val="20"/>
          <w:color w:val="auto"/>
        </w:rPr>
      </w:pPr>
    </w:p>
    <w:p>
      <w:pPr>
        <w:jc w:val="both"/>
        <w:ind w:right="140"/>
        <w:spacing w:after="0" w:line="24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BankUnited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2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/s/Deloitte &amp; Touche LLP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76" w:name="page77"/>
    <w:bookmarkEnd w:id="76"/>
    <w:p>
      <w:pPr>
        <w:ind w:left="4260"/>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620" w:type="dxa"/>
            <w:vAlign w:val="bottom"/>
            <w:shd w:val="clear" w:color="auto" w:fill="CCEEFF"/>
          </w:tcPr>
          <w:p>
            <w:pPr>
              <w:ind w:left="3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3"/>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Non-interest bearing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w:t>
            </w:r>
          </w:p>
        </w:tc>
      </w:tr>
      <w:tr>
        <w:trPr>
          <w:trHeight w:val="22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bearing</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479,038</w:t>
            </w:r>
          </w:p>
        </w:tc>
      </w:tr>
      <w:tr>
        <w:trPr>
          <w:trHeight w:val="217"/>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491,116</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9,130,244</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206,297</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24,273,707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24,297,980</w:t>
            </w: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(223,153)</w:t>
            </w:r>
          </w:p>
        </w:tc>
      </w:tr>
      <w:tr>
        <w:trPr>
          <w:trHeight w:val="217"/>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24,053,882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24,074,827</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284,570</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equipment,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223,844</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77,637</w:t>
            </w:r>
          </w:p>
        </w:tc>
      </w:tr>
      <w:tr>
        <w:trPr>
          <w:trHeight w:val="22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753,207</w:t>
            </w:r>
          </w:p>
        </w:tc>
      </w:tr>
      <w:tr>
        <w:trPr>
          <w:trHeight w:val="242"/>
        </w:trPr>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35,039,451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35,241,742</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8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862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Demand deposits: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Non-interest bearing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9,109,984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7,616,182</w:t>
            </w:r>
          </w:p>
        </w:tc>
      </w:tr>
      <w:tr>
        <w:trPr>
          <w:trHeight w:val="223"/>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bearing</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4,892,814</w:t>
            </w:r>
          </w:p>
        </w:tc>
      </w:tr>
      <w:tr>
        <w:trPr>
          <w:trHeight w:val="223"/>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Savings and money market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11,055,418</w:t>
            </w: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3,888,684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4,301,289</w:t>
            </w:r>
          </w:p>
        </w:tc>
      </w:tr>
      <w:tr>
        <w:trPr>
          <w:trHeight w:val="217"/>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29,352,905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27,865,703</w:t>
            </w: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FHLB advances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2,930,000</w:t>
            </w:r>
          </w:p>
        </w:tc>
      </w:tr>
      <w:tr>
        <w:trPr>
          <w:trHeight w:val="223"/>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and other borrowings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708,553</w:t>
            </w: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923,168</w:t>
            </w:r>
          </w:p>
        </w:tc>
      </w:tr>
      <w:tr>
        <w:trPr>
          <w:trHeight w:val="217"/>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31,985,622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32,427,424</w:t>
            </w:r>
          </w:p>
        </w:tc>
      </w:tr>
      <w:tr>
        <w:trPr>
          <w:trHeight w:val="158"/>
        </w:trPr>
        <w:tc>
          <w:tcPr>
            <w:tcW w:w="8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8"/>
        </w:trPr>
        <w:tc>
          <w:tcPr>
            <w:tcW w:w="8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1"/>
        </w:trPr>
        <w:tc>
          <w:tcPr>
            <w:tcW w:w="86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w w:val="97"/>
              </w:rPr>
              <w:t>Common stock, par value $0.01 per share, 400,000,000 shares authorized; 74,138,066 and 74,748,370 shares issued and</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7"/>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23"/>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301,672</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2,796,440</w:t>
            </w:r>
          </w:p>
        </w:tc>
      </w:tr>
      <w:tr>
        <w:trPr>
          <w:trHeight w:val="22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(284,541)</w:t>
            </w:r>
          </w:p>
        </w:tc>
      </w:tr>
      <w:tr>
        <w:trPr>
          <w:trHeight w:val="217"/>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3,053,829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2,814,318</w:t>
            </w:r>
          </w:p>
        </w:tc>
      </w:tr>
      <w:tr>
        <w:trPr>
          <w:trHeight w:val="217"/>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35,039,451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35,241,742</w:t>
            </w:r>
          </w:p>
        </w:tc>
      </w:tr>
      <w:tr>
        <w:trPr>
          <w:trHeight w:val="20"/>
        </w:trPr>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69</w:t>
      </w:r>
    </w:p>
    <w:p>
      <w:pPr>
        <w:spacing w:after="0" w:line="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8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3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1,291,403</w:t>
            </w:r>
          </w:p>
        </w:tc>
        <w:tc>
          <w:tcPr>
            <w:tcW w:w="64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1,389,897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1,318,217</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w:t>
            </w:r>
          </w:p>
        </w:tc>
        <w:tc>
          <w:tcPr>
            <w:tcW w:w="2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488,212</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51,152</w:t>
            </w: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20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1,792,793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1,925,116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1,857,581</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Interest expense:</w:t>
            </w: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2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660,305</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Borrowings</w:t>
            </w:r>
          </w:p>
        </w:tc>
        <w:tc>
          <w:tcPr>
            <w:tcW w:w="2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140,878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195,278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323,472</w:t>
            </w: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20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805,213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1,010,850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983,777</w:t>
            </w:r>
          </w:p>
        </w:tc>
        <w:tc>
          <w:tcPr>
            <w:tcW w:w="0" w:type="dxa"/>
            <w:vAlign w:val="bottom"/>
          </w:tcPr>
          <w:p>
            <w:pPr>
              <w:spacing w:after="0"/>
              <w:rPr>
                <w:sz w:val="1"/>
                <w:szCs w:val="1"/>
                <w:color w:val="auto"/>
              </w:rPr>
            </w:pPr>
          </w:p>
        </w:tc>
      </w:tr>
      <w:tr>
        <w:trPr>
          <w:trHeight w:val="217"/>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interest income before provision for credit losses</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873,804</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87,607</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0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919,640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859,194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786,197</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Non-interest income:</w:t>
            </w:r>
          </w:p>
        </w:tc>
        <w:tc>
          <w:tcPr>
            <w:tcW w:w="2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service charges and fees</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20,906</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financing</w:t>
            </w:r>
          </w:p>
        </w:tc>
        <w:tc>
          <w:tcPr>
            <w:tcW w:w="2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45,882</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markets income</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0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0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105,639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86,838</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Non-interest expense:</w:t>
            </w:r>
          </w:p>
        </w:tc>
        <w:tc>
          <w:tcPr>
            <w:tcW w:w="2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280,744</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 and equipment</w:t>
            </w:r>
          </w:p>
        </w:tc>
        <w:tc>
          <w:tcPr>
            <w:tcW w:w="2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43,345</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insurance expense</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66,747</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79,984</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of operating lease equipment</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44,446</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20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135,588</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120,685</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0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663,533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642,000</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635,951</w:t>
            </w: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237,084</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93,393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58,413</w:t>
            </w:r>
          </w:p>
        </w:tc>
        <w:tc>
          <w:tcPr>
            <w:tcW w:w="0" w:type="dxa"/>
            <w:vAlign w:val="bottom"/>
          </w:tcPr>
          <w:p>
            <w:pPr>
              <w:spacing w:after="0"/>
              <w:rPr>
                <w:sz w:val="1"/>
                <w:szCs w:val="1"/>
                <w:color w:val="auto"/>
              </w:rPr>
            </w:pPr>
          </w:p>
        </w:tc>
      </w:tr>
      <w:tr>
        <w:trPr>
          <w:trHeight w:val="242"/>
        </w:trPr>
        <w:tc>
          <w:tcPr>
            <w:tcW w:w="4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0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268,353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232,467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3"/>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 basic</w:t>
            </w:r>
          </w:p>
        </w:tc>
        <w:tc>
          <w:tcPr>
            <w:tcW w:w="20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3.55</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0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952"/>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8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80" w:type="dxa"/>
            <w:vAlign w:val="bottom"/>
            <w:gridSpan w:val="7"/>
          </w:tcPr>
          <w:p>
            <w:pPr>
              <w:jc w:val="center"/>
              <w:ind w:left="2592"/>
              <w:spacing w:after="0"/>
              <w:rPr>
                <w:sz w:val="20"/>
                <w:szCs w:val="20"/>
                <w:color w:val="auto"/>
              </w:rPr>
            </w:pPr>
            <w:r>
              <w:rPr>
                <w:rFonts w:ascii="Times New Roman" w:cs="Times New Roman" w:eastAsia="Times New Roman" w:hAnsi="Times New Roman"/>
                <w:sz w:val="18"/>
                <w:szCs w:val="18"/>
                <w:color w:val="auto"/>
                <w:w w:val="97"/>
              </w:rPr>
              <w:t>The accompanying notes are an integral part of these consolidated financial statements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4880" w:type="dxa"/>
            <w:vAlign w:val="bottom"/>
            <w:tcBorders>
              <w:bottom w:val="single" w:sz="8" w:color="9A9A9A"/>
            </w:tcBorders>
          </w:tcPr>
          <w:p>
            <w:pPr>
              <w:spacing w:after="0"/>
              <w:rPr>
                <w:sz w:val="13"/>
                <w:szCs w:val="13"/>
                <w:color w:val="auto"/>
              </w:rPr>
            </w:pPr>
          </w:p>
        </w:tc>
        <w:tc>
          <w:tcPr>
            <w:tcW w:w="20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78" w:name="page79"/>
    <w:bookmarkEnd w:id="78"/>
    <w:p>
      <w:pPr>
        <w:ind w:left="4260"/>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4"/>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178,671</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 on investment securities available for sale: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holding gains arising during the period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104,508</w:t>
            </w:r>
          </w:p>
        </w:tc>
      </w:tr>
      <w:tr>
        <w:trPr>
          <w:trHeight w:val="223"/>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adjustment for net gains realized in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17"/>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change in unrealized gains (losses) on securities available for sale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103,165</w:t>
            </w:r>
          </w:p>
        </w:tc>
      </w:tr>
      <w:tr>
        <w:trPr>
          <w:trHeight w:val="203"/>
        </w:trPr>
        <w:tc>
          <w:tcPr>
            <w:tcW w:w="706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holding gains arising during the period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25,966</w:t>
            </w:r>
          </w:p>
        </w:tc>
      </w:tr>
      <w:tr>
        <w:trPr>
          <w:trHeight w:val="223"/>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adjustment for net gains realized in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(48,647)</w:t>
            </w:r>
          </w:p>
        </w:tc>
      </w:tr>
      <w:tr>
        <w:trPr>
          <w:trHeight w:val="217"/>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change in unrealized gains (losses) on derivative instruments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(22,681)</w:t>
            </w:r>
          </w:p>
        </w:tc>
      </w:tr>
      <w:tr>
        <w:trPr>
          <w:trHeight w:val="21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80,484</w:t>
            </w:r>
          </w:p>
        </w:tc>
      </w:tr>
      <w:tr>
        <w:trPr>
          <w:trHeight w:val="21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363,299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259,155</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71</w:t>
      </w:r>
    </w:p>
    <w:p>
      <w:pPr>
        <w:spacing w:after="0" w:line="1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268,353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232,467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178,671</w:t>
            </w:r>
          </w:p>
        </w:tc>
      </w:tr>
      <w:tr>
        <w:trPr>
          <w:trHeight w:val="22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and accretion,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(13,309)</w:t>
            </w:r>
          </w:p>
        </w:tc>
      </w:tr>
      <w:tr>
        <w:trPr>
          <w:trHeight w:val="22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87,607</w:t>
            </w:r>
          </w:p>
        </w:tc>
      </w:tr>
      <w:tr>
        <w:trPr>
          <w:trHeight w:val="223"/>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19,628</w:t>
            </w:r>
          </w:p>
        </w:tc>
      </w:tr>
      <w:tr>
        <w:trPr>
          <w:trHeight w:val="22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74,060</w:t>
            </w:r>
          </w:p>
        </w:tc>
      </w:tr>
      <w:tr>
        <w:trPr>
          <w:trHeight w:val="223"/>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(46,832)</w:t>
            </w:r>
          </w:p>
        </w:tc>
      </w:tr>
      <w:tr>
        <w:trPr>
          <w:trHeight w:val="22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loans held for sale,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317,663</w:t>
            </w:r>
          </w:p>
        </w:tc>
      </w:tr>
      <w:tr>
        <w:trPr>
          <w:trHeight w:val="223"/>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Daily cash settlement of derivative instruments,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(74,477)</w:t>
            </w:r>
          </w:p>
        </w:tc>
      </w:tr>
      <w:tr>
        <w:trPr>
          <w:trHeight w:val="22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6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24,399</w:t>
            </w:r>
          </w:p>
        </w:tc>
      </w:tr>
      <w:tr>
        <w:trPr>
          <w:trHeight w:val="223"/>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increase in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90,086</w:t>
            </w:r>
          </w:p>
        </w:tc>
      </w:tr>
      <w:tr>
        <w:trPr>
          <w:trHeight w:val="217"/>
        </w:trPr>
        <w:tc>
          <w:tcPr>
            <w:tcW w:w="66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657,496</w:t>
            </w:r>
          </w:p>
        </w:tc>
      </w:tr>
      <w:tr>
        <w:trPr>
          <w:trHeight w:val="230"/>
        </w:trPr>
        <w:tc>
          <w:tcPr>
            <w:tcW w:w="6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(405,480)</w:t>
            </w: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repayments and calls of investment securities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2,312,762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1,951,954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1,036,517</w:t>
            </w:r>
          </w:p>
        </w:tc>
      </w:tr>
      <w:tr>
        <w:trPr>
          <w:trHeight w:val="22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investment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371,777</w:t>
            </w: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non-marketable equity securities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(544,887)</w:t>
            </w:r>
          </w:p>
        </w:tc>
      </w:tr>
      <w:tr>
        <w:trPr>
          <w:trHeight w:val="22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redemption of non-marketable equity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528,975</w:t>
            </w: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loans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(493,291)</w:t>
            </w:r>
          </w:p>
        </w:tc>
      </w:tr>
      <w:tr>
        <w:trPr>
          <w:trHeight w:val="22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 originations and repayments,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377,863</w:t>
            </w: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loans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w:t>
            </w:r>
          </w:p>
        </w:tc>
      </w:tr>
      <w:tr>
        <w:trPr>
          <w:trHeight w:val="22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surrender of BOLI</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Disposition of operating lease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100,328</w:t>
            </w:r>
          </w:p>
        </w:tc>
      </w:tr>
      <w:tr>
        <w:trPr>
          <w:trHeight w:val="22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(29,993)</w:t>
            </w:r>
          </w:p>
        </w:tc>
      </w:tr>
      <w:tr>
        <w:trPr>
          <w:trHeight w:val="217"/>
        </w:trPr>
        <w:tc>
          <w:tcPr>
            <w:tcW w:w="6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409,714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980,574</w:t>
            </w:r>
          </w:p>
        </w:tc>
      </w:tr>
      <w:tr>
        <w:trPr>
          <w:trHeight w:val="221"/>
        </w:trPr>
        <w:tc>
          <w:tcPr>
            <w:tcW w:w="6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(Continued)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72</w:t>
      </w:r>
    </w:p>
    <w:p>
      <w:pPr>
        <w:spacing w:after="0" w:line="1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2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increase in deposits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(970,856)</w:t>
            </w: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 federal funds purchased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r>
      <w:tr>
        <w:trPr>
          <w:trHeight w:val="223"/>
        </w:trPr>
        <w:tc>
          <w:tcPr>
            <w:tcW w:w="20" w:type="dxa"/>
            <w:vAlign w:val="bottom"/>
          </w:tcPr>
          <w:p>
            <w:pPr>
              <w:spacing w:after="0"/>
              <w:rPr>
                <w:sz w:val="19"/>
                <w:szCs w:val="19"/>
                <w:color w:val="auto"/>
              </w:rPr>
            </w:pPr>
          </w:p>
        </w:tc>
        <w:tc>
          <w:tcPr>
            <w:tcW w:w="6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Additions to FHLB borrowings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3,425,000</w:t>
            </w: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FHLB borrowings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(3,730,000)</w:t>
            </w:r>
          </w:p>
        </w:tc>
      </w:tr>
      <w:tr>
        <w:trPr>
          <w:trHeight w:val="223"/>
        </w:trPr>
        <w:tc>
          <w:tcPr>
            <w:tcW w:w="20" w:type="dxa"/>
            <w:vAlign w:val="bottom"/>
          </w:tcPr>
          <w:p>
            <w:pPr>
              <w:spacing w:after="0"/>
              <w:rPr>
                <w:sz w:val="19"/>
                <w:szCs w:val="19"/>
                <w:color w:val="auto"/>
              </w:rPr>
            </w:pPr>
          </w:p>
        </w:tc>
        <w:tc>
          <w:tcPr>
            <w:tcW w:w="6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Redemption of senior notes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(79,091)</w:t>
            </w:r>
          </w:p>
        </w:tc>
      </w:tr>
      <w:tr>
        <w:trPr>
          <w:trHeight w:val="223"/>
        </w:trPr>
        <w:tc>
          <w:tcPr>
            <w:tcW w:w="20" w:type="dxa"/>
            <w:vAlign w:val="bottom"/>
          </w:tcPr>
          <w:p>
            <w:pPr>
              <w:spacing w:after="0"/>
              <w:rPr>
                <w:sz w:val="19"/>
                <w:szCs w:val="19"/>
                <w:color w:val="auto"/>
              </w:rPr>
            </w:pPr>
          </w:p>
        </w:tc>
        <w:tc>
          <w:tcPr>
            <w:tcW w:w="6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(55,154)</w:t>
            </w: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w:t>
            </w:r>
          </w:p>
        </w:tc>
      </w:tr>
      <w:tr>
        <w:trPr>
          <w:trHeight w:val="217"/>
        </w:trPr>
        <w:tc>
          <w:tcPr>
            <w:tcW w:w="20" w:type="dxa"/>
            <w:vAlign w:val="bottom"/>
            <w:tcBorders>
              <w:bottom w:val="single" w:sz="8" w:color="CCEEFF"/>
            </w:tcBorders>
          </w:tcPr>
          <w:p>
            <w:pPr>
              <w:spacing w:after="0"/>
              <w:rPr>
                <w:sz w:val="18"/>
                <w:szCs w:val="18"/>
                <w:color w:val="auto"/>
              </w:rPr>
            </w:pPr>
          </w:p>
        </w:tc>
        <w:tc>
          <w:tcPr>
            <w:tcW w:w="664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(940,661)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(1,622,434)</w:t>
            </w:r>
          </w:p>
        </w:tc>
      </w:tr>
      <w:tr>
        <w:trPr>
          <w:trHeight w:val="217"/>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r>
      <w:tr>
        <w:trPr>
          <w:trHeight w:val="223"/>
        </w:trPr>
        <w:tc>
          <w:tcPr>
            <w:tcW w:w="66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572,647</w:t>
            </w:r>
          </w:p>
        </w:tc>
      </w:tr>
      <w:tr>
        <w:trPr>
          <w:trHeight w:val="242"/>
        </w:trPr>
        <w:tc>
          <w:tcPr>
            <w:tcW w:w="66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760" w:type="dxa"/>
            <w:vAlign w:val="bottom"/>
            <w:tcBorders>
              <w:bottom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7"/>
              </w:rPr>
              <w:t>Supplemental disclosure of cash flow information:</w:t>
            </w:r>
          </w:p>
        </w:tc>
        <w:tc>
          <w:tcPr>
            <w:tcW w:w="2880" w:type="dxa"/>
            <w:vAlign w:val="bottom"/>
            <w:tcBorders>
              <w:bottom w:val="single" w:sz="8" w:color="CCEEFF"/>
            </w:tcBorders>
            <w:gridSpan w:val="2"/>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831,903</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1,031,997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950,476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6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paid, net</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auto"/>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7"/>
              </w:rPr>
              <w:t>Supplemental schedule of non-cash investing and financing activities:</w:t>
            </w:r>
          </w:p>
        </w:tc>
        <w:tc>
          <w:tcPr>
            <w:tcW w:w="14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640" w:type="dxa"/>
            <w:vAlign w:val="bottom"/>
            <w:gridSpan w:val="3"/>
          </w:tcPr>
          <w:p>
            <w:pPr>
              <w:ind w:left="120"/>
              <w:spacing w:after="0" w:line="197" w:lineRule="exact"/>
              <w:rPr>
                <w:sz w:val="20"/>
                <w:szCs w:val="20"/>
                <w:color w:val="auto"/>
              </w:rPr>
            </w:pPr>
            <w:r>
              <w:rPr>
                <w:rFonts w:ascii="Times New Roman" w:cs="Times New Roman" w:eastAsia="Times New Roman" w:hAnsi="Times New Roman"/>
                <w:sz w:val="18"/>
                <w:szCs w:val="18"/>
                <w:color w:val="auto"/>
              </w:rPr>
              <w:t>Transfers from loans to loans held for sale</w:t>
            </w:r>
          </w:p>
        </w:tc>
        <w:tc>
          <w:tcPr>
            <w:tcW w:w="340" w:type="dxa"/>
            <w:vAlign w:val="bottom"/>
          </w:tcPr>
          <w:p>
            <w:pPr>
              <w:jc w:val="right"/>
              <w:ind w:right="15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213,743</w:t>
            </w:r>
          </w:p>
        </w:tc>
        <w:tc>
          <w:tcPr>
            <w:tcW w:w="440" w:type="dxa"/>
            <w:vAlign w:val="bottom"/>
            <w:gridSpan w:val="2"/>
          </w:tcPr>
          <w:p>
            <w:pPr>
              <w:jc w:val="right"/>
              <w:ind w:right="152"/>
              <w:spacing w:after="0" w:line="197"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250,338</w:t>
            </w:r>
          </w:p>
        </w:tc>
        <w:tc>
          <w:tcPr>
            <w:tcW w:w="100" w:type="dxa"/>
            <w:vAlign w:val="bottom"/>
          </w:tcPr>
          <w:p>
            <w:pPr>
              <w:spacing w:after="0"/>
              <w:rPr>
                <w:sz w:val="17"/>
                <w:szCs w:val="17"/>
                <w:color w:val="auto"/>
              </w:rPr>
            </w:pPr>
          </w:p>
        </w:tc>
        <w:tc>
          <w:tcPr>
            <w:tcW w:w="360" w:type="dxa"/>
            <w:vAlign w:val="bottom"/>
          </w:tcPr>
          <w:p>
            <w:pPr>
              <w:jc w:val="right"/>
              <w:ind w:right="17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361,382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6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Transfers from operating lease equipment to equipment held for sale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Dividends declared, not paid</w:t>
            </w:r>
          </w:p>
        </w:tc>
        <w:tc>
          <w:tcPr>
            <w:tcW w:w="340" w:type="dxa"/>
            <w:vAlign w:val="bottom"/>
            <w:tcBorders>
              <w:top w:val="single" w:sz="8" w:color="auto"/>
              <w:bottom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24,078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22,176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6640" w:type="dxa"/>
            <w:vAlign w:val="bottom"/>
            <w:tcBorders>
              <w:bottom w:val="single" w:sz="8" w:color="CCEEFF"/>
            </w:tcBorders>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Unsettled securities trades, net</w:t>
            </w:r>
          </w:p>
        </w:tc>
        <w:tc>
          <w:tcPr>
            <w:tcW w:w="340" w:type="dxa"/>
            <w:vAlign w:val="bottom"/>
            <w:tcBorders>
              <w:bottom w:val="single" w:sz="8" w:color="auto"/>
            </w:tcBorders>
            <w:shd w:val="clear" w:color="auto" w:fill="CCEEFF"/>
          </w:tcPr>
          <w:p>
            <w:pPr>
              <w:jc w:val="right"/>
              <w:ind w:right="152"/>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2"/>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100,038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2"/>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Obligations incurred in acquisition of affordable housing limited partnerships</w:t>
            </w:r>
          </w:p>
        </w:tc>
        <w:tc>
          <w:tcPr>
            <w:tcW w:w="340" w:type="dxa"/>
            <w:vAlign w:val="bottom"/>
            <w:tcBorders>
              <w:bottom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20,000</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73</w:t>
      </w:r>
    </w:p>
    <w:p>
      <w:pPr>
        <w:spacing w:after="0" w:line="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5"/>
        </w:trPr>
        <w:tc>
          <w:tcPr>
            <w:tcW w:w="38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800" w:type="dxa"/>
            <w:vAlign w:val="bottom"/>
          </w:tcPr>
          <w:p>
            <w:pPr>
              <w:spacing w:after="0"/>
              <w:rPr>
                <w:sz w:val="12"/>
                <w:szCs w:val="12"/>
                <w:color w:val="auto"/>
              </w:rPr>
            </w:pPr>
          </w:p>
        </w:tc>
        <w:tc>
          <w:tcPr>
            <w:tcW w:w="12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12"/>
                <w:szCs w:val="12"/>
                <w:color w:val="auto"/>
              </w:rPr>
            </w:pPr>
          </w:p>
        </w:tc>
        <w:tc>
          <w:tcPr>
            <w:tcW w:w="1060" w:type="dxa"/>
            <w:vAlign w:val="bottom"/>
          </w:tcPr>
          <w:p>
            <w:pPr>
              <w:jc w:val="center"/>
              <w:ind w:right="5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75,674,587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321,729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2,551,400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2,435,981</w:t>
            </w:r>
          </w:p>
        </w:tc>
        <w:tc>
          <w:tcPr>
            <w:tcW w:w="0" w:type="dxa"/>
            <w:vAlign w:val="bottom"/>
          </w:tcPr>
          <w:p>
            <w:pPr>
              <w:spacing w:after="0"/>
              <w:rPr>
                <w:sz w:val="1"/>
                <w:szCs w:val="1"/>
                <w:color w:val="auto"/>
              </w:rPr>
            </w:pPr>
          </w:p>
        </w:tc>
      </w:tr>
      <w:tr>
        <w:trPr>
          <w:trHeight w:val="190"/>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Impact of adoption of ASU 2022-02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0" w:type="dxa"/>
            <w:vAlign w:val="bottom"/>
          </w:tcPr>
          <w:p>
            <w:pPr>
              <w:spacing w:after="0"/>
              <w:rPr>
                <w:sz w:val="1"/>
                <w:szCs w:val="1"/>
                <w:color w:val="auto"/>
              </w:rPr>
            </w:pPr>
          </w:p>
        </w:tc>
      </w:tr>
      <w:tr>
        <w:trPr>
          <w:trHeight w:val="197"/>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75,674,587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321,729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2,552,736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2,437,317</w:t>
            </w:r>
          </w:p>
        </w:tc>
        <w:tc>
          <w:tcPr>
            <w:tcW w:w="0" w:type="dxa"/>
            <w:vAlign w:val="bottom"/>
          </w:tcPr>
          <w:p>
            <w:pPr>
              <w:spacing w:after="0"/>
              <w:rPr>
                <w:sz w:val="1"/>
                <w:szCs w:val="1"/>
                <w:color w:val="auto"/>
              </w:rPr>
            </w:pPr>
          </w:p>
        </w:tc>
      </w:tr>
      <w:tr>
        <w:trPr>
          <w:trHeight w:val="183"/>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259,155</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($1.08 per common share)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(80,451)</w:t>
            </w:r>
          </w:p>
        </w:tc>
        <w:tc>
          <w:tcPr>
            <w:tcW w:w="0" w:type="dxa"/>
            <w:vAlign w:val="bottom"/>
          </w:tcPr>
          <w:p>
            <w:pPr>
              <w:spacing w:after="0"/>
              <w:rPr>
                <w:sz w:val="1"/>
                <w:szCs w:val="1"/>
                <w:color w:val="auto"/>
              </w:rPr>
            </w:pPr>
          </w:p>
        </w:tc>
      </w:tr>
      <w:tr>
        <w:trPr>
          <w:trHeight w:val="135"/>
        </w:trPr>
        <w:tc>
          <w:tcPr>
            <w:tcW w:w="38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Equity based compensation, net of shares forfeited and</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332,163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17,051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17,054</w:t>
            </w: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surrendered</w:t>
            </w: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(1,634,245)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(55,154)</w:t>
            </w:r>
          </w:p>
        </w:tc>
        <w:tc>
          <w:tcPr>
            <w:tcW w:w="0" w:type="dxa"/>
            <w:vAlign w:val="bottom"/>
          </w:tcPr>
          <w:p>
            <w:pPr>
              <w:spacing w:after="0"/>
              <w:rPr>
                <w:sz w:val="1"/>
                <w:szCs w:val="1"/>
                <w:color w:val="auto"/>
              </w:rPr>
            </w:pPr>
          </w:p>
        </w:tc>
      </w:tr>
      <w:tr>
        <w:trPr>
          <w:trHeight w:val="183"/>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74,372,505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283,642</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2,650,956</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(357,421)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2,577,921</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305,347</w:t>
            </w:r>
          </w:p>
        </w:tc>
        <w:tc>
          <w:tcPr>
            <w:tcW w:w="0" w:type="dxa"/>
            <w:vAlign w:val="bottom"/>
          </w:tcPr>
          <w:p>
            <w:pPr>
              <w:spacing w:after="0"/>
              <w:rPr>
                <w:sz w:val="1"/>
                <w:szCs w:val="1"/>
                <w:color w:val="auto"/>
              </w:rPr>
            </w:pPr>
          </w:p>
        </w:tc>
      </w:tr>
      <w:tr>
        <w:trPr>
          <w:trHeight w:val="190"/>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($1.16 per common 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(86,983)</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Equity based compensation, net of shares forfeited and</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375,865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18,033</w:t>
            </w:r>
          </w:p>
        </w:tc>
        <w:tc>
          <w:tcPr>
            <w:tcW w:w="0" w:type="dxa"/>
            <w:vAlign w:val="bottom"/>
          </w:tcPr>
          <w:p>
            <w:pPr>
              <w:spacing w:after="0"/>
              <w:rPr>
                <w:sz w:val="1"/>
                <w:szCs w:val="1"/>
                <w:color w:val="auto"/>
              </w:rPr>
            </w:pPr>
          </w:p>
        </w:tc>
      </w:tr>
      <w:tr>
        <w:trPr>
          <w:trHeight w:val="19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surrendered</w:t>
            </w: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74,748,370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301,672</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2,796,440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(284,541)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2,814,318</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363,299</w:t>
            </w:r>
          </w:p>
        </w:tc>
        <w:tc>
          <w:tcPr>
            <w:tcW w:w="0" w:type="dxa"/>
            <w:vAlign w:val="bottom"/>
          </w:tcPr>
          <w:p>
            <w:pPr>
              <w:spacing w:after="0"/>
              <w:rPr>
                <w:sz w:val="1"/>
                <w:szCs w:val="1"/>
                <w:color w:val="auto"/>
              </w:rPr>
            </w:pPr>
          </w:p>
        </w:tc>
      </w:tr>
      <w:tr>
        <w:trPr>
          <w:trHeight w:val="190"/>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($1.24 per common 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(93,805)</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Equity based compensation, net of shares forfeited and</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473,596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14,822</w:t>
            </w:r>
          </w:p>
        </w:tc>
        <w:tc>
          <w:tcPr>
            <w:tcW w:w="0" w:type="dxa"/>
            <w:vAlign w:val="bottom"/>
          </w:tcPr>
          <w:p>
            <w:pPr>
              <w:spacing w:after="0"/>
              <w:rPr>
                <w:sz w:val="1"/>
                <w:szCs w:val="1"/>
                <w:color w:val="auto"/>
              </w:rPr>
            </w:pPr>
          </w:p>
        </w:tc>
      </w:tr>
      <w:tr>
        <w:trPr>
          <w:trHeight w:val="19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surrendered</w:t>
            </w: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(1,083,900)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(44,805)</w:t>
            </w:r>
          </w:p>
        </w:tc>
        <w:tc>
          <w:tcPr>
            <w:tcW w:w="0" w:type="dxa"/>
            <w:vAlign w:val="bottom"/>
          </w:tcPr>
          <w:p>
            <w:pPr>
              <w:spacing w:after="0"/>
              <w:rPr>
                <w:sz w:val="1"/>
                <w:szCs w:val="1"/>
                <w:color w:val="auto"/>
              </w:rPr>
            </w:pPr>
          </w:p>
        </w:tc>
      </w:tr>
      <w:tr>
        <w:trPr>
          <w:trHeight w:val="222"/>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74,138,066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2,970,988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3,053,829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74</w:t>
      </w:r>
    </w:p>
    <w:p>
      <w:pPr>
        <w:spacing w:after="0" w:line="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2" w:name="page83"/>
    <w:bookmarkEnd w:id="82"/>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Basis of Presentation and Summary of Significant Accounting Policies</w:t>
      </w:r>
    </w:p>
    <w:p>
      <w:pPr>
        <w:spacing w:after="0" w:line="163" w:lineRule="exact"/>
        <w:rPr>
          <w:sz w:val="20"/>
          <w:szCs w:val="20"/>
          <w:color w:val="auto"/>
        </w:rPr>
      </w:pPr>
    </w:p>
    <w:p>
      <w:pPr>
        <w:ind w:right="100" w:firstLine="315"/>
        <w:spacing w:after="0" w:line="249" w:lineRule="auto"/>
        <w:rPr>
          <w:sz w:val="20"/>
          <w:szCs w:val="20"/>
          <w:color w:val="auto"/>
        </w:rPr>
      </w:pPr>
      <w:r>
        <w:rPr>
          <w:rFonts w:ascii="Times New Roman" w:cs="Times New Roman" w:eastAsia="Times New Roman" w:hAnsi="Times New Roman"/>
          <w:sz w:val="18"/>
          <w:szCs w:val="18"/>
          <w:color w:val="auto"/>
        </w:rPr>
        <w:t>BankUnited, Inc. is a bank holding company with one wholly-owned subsidiary, BankUnited, collectively, the Company. BankUnited, a national banking association headquartered in Miami Lakes, Florida, provides a full range of commercial lending and both commercial and consumer deposit services through banking centers located in the state of Florida, the New York metropolitan area and Dallas. The Bank offers a full suite of commercial lending and deposit products through regional commercial banking offices in Atlanta, Charlotte and Morristown, New Jersey, and certain commercial lending and deposit products through national platforms.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GAAP and prevailing practices in the banking industry.</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52" w:lineRule="exact"/>
        <w:rPr>
          <w:sz w:val="20"/>
          <w:szCs w:val="20"/>
          <w:color w:val="auto"/>
        </w:rPr>
      </w:pPr>
    </w:p>
    <w:p>
      <w:pPr>
        <w:ind w:right="200" w:firstLine="315"/>
        <w:spacing w:after="0" w:line="268"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liabilities, revenues, expenses and disclosures of contingent assets and liabilities. Actual results could differ significantly from these estimates.</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significant estimate impacting the Company's consolidated financial statements is the ACL.</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39" w:lineRule="exact"/>
        <w:rPr>
          <w:sz w:val="20"/>
          <w:szCs w:val="20"/>
          <w:color w:val="auto"/>
        </w:rPr>
      </w:pPr>
    </w:p>
    <w:p>
      <w:pPr>
        <w:ind w:firstLine="315"/>
        <w:spacing w:after="0" w:line="249"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BankUnited, Inc. and its wholly-owned subsidiary. All significant intercompany balances and transactions have been eliminated in consolidation. VIEs are consolidated if the Company is the primary beneficiary; i.e., has (i) the power to direct the activities of the VIE that most significantly impact the VIE's economic performance and (ii) the obligation to absorb losses or the right to receive benefits that could potentially be significant to the VIE. The Company has variable interests in affordable housing limited partnerships that are not required to be consolidated because the Company is not the primary beneficiary.</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52" w:lineRule="exact"/>
        <w:rPr>
          <w:sz w:val="20"/>
          <w:szCs w:val="20"/>
          <w:color w:val="auto"/>
        </w:rPr>
      </w:pPr>
    </w:p>
    <w:p>
      <w:pPr>
        <w:ind w:firstLine="315"/>
        <w:spacing w:after="0" w:line="249" w:lineRule="auto"/>
        <w:rPr>
          <w:sz w:val="20"/>
          <w:szCs w:val="20"/>
          <w:color w:val="auto"/>
        </w:rPr>
      </w:pPr>
      <w:r>
        <w:rPr>
          <w:rFonts w:ascii="Times New Roman" w:cs="Times New Roman" w:eastAsia="Times New Roman" w:hAnsi="Times New Roman"/>
          <w:sz w:val="18"/>
          <w:szCs w:val="18"/>
          <w:color w:val="auto"/>
        </w:rPr>
        <w:t>Certain of the Company's assets and liabilities are reflected in the consolidated financial statements at fair value on either a recurring or non-recurring basis. Investment securities AFS, marketable equity securities and derivative instruments are measured at fair value on a recurring basis. Assets measured at fair value or fair value less cost to sell on a non-recurring basis may include collateral dependent loans, OREO and other repossessed assets, loans held for sale, goodwill and impaired long-lived assets. These non-recurring fair value measurements typically involve lower-of-cost-or-market accounting or the measurement of impairment of certain assets.</w:t>
      </w:r>
    </w:p>
    <w:p>
      <w:pPr>
        <w:spacing w:after="0" w:line="122"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in the principal or most advantageous market for the asset or liability in an orderly transaction between market participants at the measurement date. GAAP establishes a hierarchy that prioritizes inputs used to determine fair value measurements into three levels based on the observability and transparency of the inputs:</w:t>
      </w:r>
    </w:p>
    <w:p>
      <w:pPr>
        <w:spacing w:after="0" w:line="100" w:lineRule="exact"/>
        <w:rPr>
          <w:sz w:val="20"/>
          <w:szCs w:val="20"/>
          <w:color w:val="auto"/>
        </w:rPr>
      </w:pPr>
    </w:p>
    <w:p>
      <w:pPr>
        <w:ind w:left="640" w:hanging="319"/>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unadjusted quoted prices in active markets that are accessible at the measurement date for identical assets or liabilities.</w:t>
      </w:r>
    </w:p>
    <w:p>
      <w:pPr>
        <w:spacing w:after="0" w:line="10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observable inputs other than level 1 inputs, including quoted prices for similar assets and liabilities, quoted prices for identical assets and liabilities in less active markets and other inputs that can be corroborated by observable market data.</w:t>
      </w:r>
    </w:p>
    <w:p>
      <w:pPr>
        <w:spacing w:after="0" w:line="63" w:lineRule="exact"/>
        <w:rPr>
          <w:rFonts w:ascii="Times New Roman" w:cs="Times New Roman" w:eastAsia="Times New Roman" w:hAnsi="Times New Roman"/>
          <w:sz w:val="18"/>
          <w:szCs w:val="18"/>
          <w:color w:val="auto"/>
        </w:rPr>
      </w:pPr>
    </w:p>
    <w:p>
      <w:pPr>
        <w:ind w:left="640" w:right="300" w:hanging="319"/>
        <w:spacing w:after="0" w:line="268" w:lineRule="auto"/>
        <w:tabs>
          <w:tab w:leader="none" w:pos="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supported by limited or no market activity or data and inputs requiring significant management judgment or estimation.</w:t>
      </w:r>
    </w:p>
    <w:p>
      <w:pPr>
        <w:spacing w:after="0" w:line="103" w:lineRule="exact"/>
        <w:rPr>
          <w:sz w:val="20"/>
          <w:szCs w:val="20"/>
          <w:color w:val="auto"/>
        </w:rPr>
      </w:pPr>
    </w:p>
    <w:p>
      <w:pPr>
        <w:ind w:right="300" w:firstLine="315"/>
        <w:spacing w:after="0" w:line="256" w:lineRule="auto"/>
        <w:rPr>
          <w:sz w:val="20"/>
          <w:szCs w:val="20"/>
          <w:color w:val="auto"/>
        </w:rPr>
      </w:pPr>
      <w:r>
        <w:rPr>
          <w:rFonts w:ascii="Times New Roman" w:cs="Times New Roman" w:eastAsia="Times New Roman" w:hAnsi="Times New Roman"/>
          <w:sz w:val="18"/>
          <w:szCs w:val="18"/>
          <w:color w:val="auto"/>
        </w:rPr>
        <w:t>The fair value hierarchy requires the Company to maximize the use of observable inputs and minimize the use of unobservable inputs in estimating fair value. Unobservable inputs are utilized in determining fair value measurements only to the extent that observable inputs are unavailable. The need to use unobservable inputs generally results from a lack of market</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83" w:name="page84"/>
    <w:bookmarkEnd w:id="83"/>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diminished observability of actual trades or assumptions that would otherwise be available to value a particular asset or liability.</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52"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cash and due from banks, both interest bearing and non-interest bearing, including amounts on deposit at the Federal Reserve Bank. Cash equivalents have original maturities of three months or less. For purposes of reporting cash flows, cash receipts and payments pertaining to FHLB advances with original maturities of three months or less are reported net.</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52" w:lineRule="exact"/>
        <w:rPr>
          <w:sz w:val="20"/>
          <w:szCs w:val="20"/>
          <w:color w:val="auto"/>
        </w:rPr>
      </w:pPr>
    </w:p>
    <w:p>
      <w:pPr>
        <w:ind w:right="20" w:firstLine="315"/>
        <w:spacing w:after="0" w:line="246" w:lineRule="auto"/>
        <w:rPr>
          <w:sz w:val="20"/>
          <w:szCs w:val="20"/>
          <w:color w:val="auto"/>
        </w:rPr>
      </w:pPr>
      <w:r>
        <w:rPr>
          <w:rFonts w:ascii="Times New Roman" w:cs="Times New Roman" w:eastAsia="Times New Roman" w:hAnsi="Times New Roman"/>
          <w:sz w:val="18"/>
          <w:szCs w:val="18"/>
          <w:color w:val="auto"/>
        </w:rPr>
        <w:t>Debt securities that the Company has the positive intent and ability to hold to maturity are classified as held to maturity and reported at amortized cost. Debt securities that the Company may not have the intent to hold to maturity are classified as available-for-sale at the time of acquisition and carried at fair value with unrealized gains and losses, net of tax, excluded from earnings and reported in AOCI, a separate component of stockholders' equity. Securities classified as AFS may be used as part of the Company's asset/liability management strategy and may be sold in response to liquidity needs, regulatory changes, changes in interest rates, prepayment risk or other market factors. The Company does not maintain a trading portfolio. Purchase premiums and discounts on debt securities are amortized as adjustments to yield over the expected lives of the securities, using the interest method which results in a constant effective yield. Premiums are amortized to the call date for callable securities. Realized gains and losses from sales of securities are recorded on the trade date and are determined using the specific identification method. The Company's policy on the ACL related to debt securities is discussed below in the section entitled "ACL".</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Marketable equity securities with readily determinable fair values are reported at fair value with unrealized gains and losses included in earnings.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152" w:lineRule="exact"/>
        <w:rPr>
          <w:sz w:val="20"/>
          <w:szCs w:val="20"/>
          <w:color w:val="auto"/>
        </w:rPr>
      </w:pPr>
    </w:p>
    <w:p>
      <w:pPr>
        <w:ind w:firstLine="315"/>
        <w:spacing w:after="0" w:line="248" w:lineRule="auto"/>
        <w:rPr>
          <w:sz w:val="20"/>
          <w:szCs w:val="20"/>
          <w:color w:val="auto"/>
        </w:rPr>
      </w:pPr>
      <w:r>
        <w:rPr>
          <w:rFonts w:ascii="Times New Roman" w:cs="Times New Roman" w:eastAsia="Times New Roman" w:hAnsi="Times New Roman"/>
          <w:sz w:val="18"/>
          <w:szCs w:val="18"/>
          <w:color w:val="auto"/>
        </w:rPr>
        <w:t>The Bank, as a member of the FRB system and the FHLB, is required to maintain investments in the stock of the FRB and FHLB. No market exists for this stock, and the investment can be liquidated only through redemption by the respective institutions, at the discretion of and subject to conditions imposed by those institutions. The stock has no readily determinable fair value and is carried at cost. Historically, stock redemptions have been at par value, which equals the Company's carrying value. The Company monitors its investment in FHLB stock for impairment through review of recent financial results of the FHLB, including capital adequacy and liquidity position, dividend payment history, redemption history and information from credit agencies. The Company has not identified any indicators of impairment of the FRB or FHLB stock.</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Loans Held for Sale</w:t>
      </w:r>
    </w:p>
    <w:p>
      <w:pPr>
        <w:spacing w:after="0" w:line="152" w:lineRule="exact"/>
        <w:rPr>
          <w:sz w:val="20"/>
          <w:szCs w:val="20"/>
          <w:color w:val="auto"/>
        </w:rPr>
      </w:pPr>
    </w:p>
    <w:p>
      <w:pPr>
        <w:ind w:right="40" w:firstLine="315"/>
        <w:spacing w:after="0" w:line="331" w:lineRule="auto"/>
        <w:rPr>
          <w:sz w:val="20"/>
          <w:szCs w:val="20"/>
          <w:color w:val="auto"/>
        </w:rPr>
      </w:pPr>
      <w:r>
        <w:rPr>
          <w:rFonts w:ascii="Times New Roman" w:cs="Times New Roman" w:eastAsia="Times New Roman" w:hAnsi="Times New Roman"/>
          <w:sz w:val="16"/>
          <w:szCs w:val="16"/>
          <w:color w:val="auto"/>
        </w:rPr>
        <w:t>Loans originated or purchased with the intent to sell are carried at the lower of cost or fair value. A valuation allowance is established through a charge to earnings if the aggregate fair value of such loans is lower than their cost. Gains or losses recognized upon sale are determined on a specific identification basis.</w:t>
      </w:r>
    </w:p>
    <w:p>
      <w:pPr>
        <w:spacing w:after="0" w:line="45" w:lineRule="exact"/>
        <w:rPr>
          <w:sz w:val="20"/>
          <w:szCs w:val="20"/>
          <w:color w:val="auto"/>
        </w:rPr>
      </w:pPr>
    </w:p>
    <w:p>
      <w:pPr>
        <w:ind w:right="60" w:firstLine="315"/>
        <w:spacing w:after="0" w:line="256" w:lineRule="auto"/>
        <w:rPr>
          <w:sz w:val="20"/>
          <w:szCs w:val="20"/>
          <w:color w:val="auto"/>
        </w:rPr>
      </w:pPr>
      <w:r>
        <w:rPr>
          <w:rFonts w:ascii="Times New Roman" w:cs="Times New Roman" w:eastAsia="Times New Roman" w:hAnsi="Times New Roman"/>
          <w:sz w:val="18"/>
          <w:szCs w:val="18"/>
          <w:color w:val="auto"/>
        </w:rPr>
        <w:t>Loans not originated or otherwise acquired with the intent to sell, or loans which have been originated by the Company and subsequently held for sale, are transferred into the held for sale classification at the lower of carrying amount or fair value when they are specifically identified for sale and a formal plan exists to sell them.</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152"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Loans are reported at amortized cost, net of the ACL. Interest income is accrued based on the principal amount outstanding. Non-refundable loan origination fees, net of direct costs of originating or acquiring loans, as well as purchase premiums and discounts, are deferred and recognized as adjustments to yield over the contractual lives of the related loans using the interest method which results in a constant effective yield.</w:t>
      </w:r>
    </w:p>
    <w:p>
      <w:pPr>
        <w:spacing w:after="0" w:line="200" w:lineRule="exact"/>
        <w:rPr>
          <w:sz w:val="20"/>
          <w:szCs w:val="20"/>
          <w:color w:val="auto"/>
        </w:rPr>
      </w:pPr>
    </w:p>
    <w:p>
      <w:pPr>
        <w:spacing w:after="0" w:line="34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sectPr>
      </w:pPr>
    </w:p>
    <w:bookmarkStart w:id="84" w:name="page85"/>
    <w:bookmarkEnd w:id="84"/>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Non-accrual loans</w:t>
      </w:r>
    </w:p>
    <w:p>
      <w:pPr>
        <w:spacing w:after="0" w:line="150" w:lineRule="exact"/>
        <w:rPr>
          <w:sz w:val="20"/>
          <w:szCs w:val="20"/>
          <w:color w:val="auto"/>
        </w:rPr>
      </w:pPr>
    </w:p>
    <w:p>
      <w:pPr>
        <w:ind w:right="180" w:firstLine="315"/>
        <w:spacing w:after="0" w:line="247" w:lineRule="auto"/>
        <w:rPr>
          <w:sz w:val="20"/>
          <w:szCs w:val="20"/>
          <w:color w:val="auto"/>
        </w:rPr>
      </w:pPr>
      <w:r>
        <w:rPr>
          <w:rFonts w:ascii="Times New Roman" w:cs="Times New Roman" w:eastAsia="Times New Roman" w:hAnsi="Times New Roman"/>
          <w:sz w:val="18"/>
          <w:szCs w:val="18"/>
          <w:color w:val="auto"/>
        </w:rPr>
        <w:t>Commercial loans are placed on non-accrual status when (i) management has determined that full repayment of all contractual principal and interest is in doubt, or (ii) the loan is past due 90 days or more as to principal or interest unless the loan is well secured and in the process of collection. Residential loans, other than government insured residential loans, are generally placed on non-accrual status when they are 60 days past due. When a loan is placed on non-accrual status, uncollected interest accrued is reversed and charged to interest income. Payments received on non-accrual commercial loans are applied as a reduction of principal. Interest payments are recognized as income on a cash basis on non-accrual residential loans. Commercial loans are returned to accrual status only after all past due principal and interest has been collected and full repayment of remaining contractual principal and interest is reasonably assured. Residential loans are generally returned to accrual status when less than 60 days past due. Past due status of loans is determined based on the contractual next payment due date. Loans less than 30 days past due are reported as current.</w:t>
      </w:r>
    </w:p>
    <w:p>
      <w:pPr>
        <w:spacing w:after="0" w:line="123" w:lineRule="exact"/>
        <w:rPr>
          <w:sz w:val="20"/>
          <w:szCs w:val="20"/>
          <w:color w:val="auto"/>
        </w:rPr>
      </w:pPr>
    </w:p>
    <w:p>
      <w:pPr>
        <w:ind w:right="40" w:firstLine="315"/>
        <w:spacing w:after="0" w:line="268" w:lineRule="auto"/>
        <w:rPr>
          <w:sz w:val="20"/>
          <w:szCs w:val="20"/>
          <w:color w:val="auto"/>
        </w:rPr>
      </w:pPr>
      <w:r>
        <w:rPr>
          <w:rFonts w:ascii="Times New Roman" w:cs="Times New Roman" w:eastAsia="Times New Roman" w:hAnsi="Times New Roman"/>
          <w:sz w:val="18"/>
          <w:szCs w:val="18"/>
          <w:color w:val="auto"/>
        </w:rPr>
        <w:t>Contractually delinquent government insured residential loans are not classified as non-accrual due to the nature of the guarantee. Contractually delinquent PCD loans are not classified as non-accrual, as long as the Company has a reasonable expectation about amounts expected to be collected.</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PCD assets</w:t>
      </w:r>
    </w:p>
    <w:p>
      <w:pPr>
        <w:spacing w:after="0" w:line="150" w:lineRule="exact"/>
        <w:rPr>
          <w:sz w:val="20"/>
          <w:szCs w:val="20"/>
          <w:color w:val="auto"/>
        </w:rPr>
      </w:pPr>
    </w:p>
    <w:p>
      <w:pPr>
        <w:ind w:right="20" w:firstLine="315"/>
        <w:spacing w:after="0" w:line="247" w:lineRule="auto"/>
        <w:rPr>
          <w:sz w:val="20"/>
          <w:szCs w:val="20"/>
          <w:color w:val="auto"/>
        </w:rPr>
      </w:pPr>
      <w:r>
        <w:rPr>
          <w:rFonts w:ascii="Times New Roman" w:cs="Times New Roman" w:eastAsia="Times New Roman" w:hAnsi="Times New Roman"/>
          <w:sz w:val="18"/>
          <w:szCs w:val="18"/>
          <w:color w:val="auto"/>
        </w:rPr>
        <w:t>PCD assets are acquired financial assets that, as of the date of acquisition, have experienced a more than insignificant deterioration in credit quality since origination. An assessment is conducted at acquisition to determine whether acquired financial assets meet the criteria to be classified as PCD assets. That assessment may be conducted at the individual asset level, or for a group of assets acquired together that have similar risk characteristics. At acquisition, the ACL related to PCD assets, representing the estimated amount of the UPB of the assets not expected to be collected, is added to the purchase price to determine the amortized cost basis and any non-credit related discount or premium is allocated to the individual assets acquired. The non-credit related discount or premium is accreted or amortized to interest income over the life of the related assets using the level yield method, as long as there is a reasonable expectation about amounts expected to be collected. Subsequent changes in the amount of expected credit losses are recognized immediately by adjusting the ACL and reflecting the periodic changes as credit loss expense or reversal of credit loss expense.</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Sales-type and Direct Financing Leases</w:t>
      </w:r>
    </w:p>
    <w:p>
      <w:pPr>
        <w:spacing w:after="0" w:line="137"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Sales-type and direct financing leases are carried at the aggregate of lease payments receivable, initial direct costs and estimated residual value of the leased property, if applicable, less unearned income. Interest income is recognized over the term of the leases to achieve a constant periodic rate of return on the outstanding investment.</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ACL</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AFS Debt Securities</w:t>
      </w:r>
    </w:p>
    <w:p>
      <w:pPr>
        <w:spacing w:after="0" w:line="137" w:lineRule="exact"/>
        <w:rPr>
          <w:sz w:val="20"/>
          <w:szCs w:val="20"/>
          <w:color w:val="auto"/>
        </w:rPr>
      </w:pPr>
    </w:p>
    <w:p>
      <w:pPr>
        <w:ind w:right="20" w:firstLine="315"/>
        <w:spacing w:after="0" w:line="249" w:lineRule="auto"/>
        <w:rPr>
          <w:sz w:val="20"/>
          <w:szCs w:val="20"/>
          <w:color w:val="auto"/>
        </w:rPr>
      </w:pPr>
      <w:r>
        <w:rPr>
          <w:rFonts w:ascii="Times New Roman" w:cs="Times New Roman" w:eastAsia="Times New Roman" w:hAnsi="Times New Roman"/>
          <w:sz w:val="18"/>
          <w:szCs w:val="18"/>
          <w:color w:val="auto"/>
        </w:rPr>
        <w:t>The Company reviews its AFS debt securities for credit loss impairment at the individual security level on a quarterly basis. A security is impaired if its fair value is less than its amortized cost basis. A decline in fair value below amortized cost basis represents a credit loss impairment to the extent the Company does not expect to recover the amortized cost basis of the security. Impairment related to credit losses is recorded through the ACL to the extent fair value is less than the amortized cost basis. Declines in fair value that have not been recorded through the ACL are recorded through other comprehensive income, net of tax.</w:t>
      </w:r>
    </w:p>
    <w:p>
      <w:pPr>
        <w:spacing w:after="0" w:line="122" w:lineRule="exact"/>
        <w:rPr>
          <w:sz w:val="20"/>
          <w:szCs w:val="20"/>
          <w:color w:val="auto"/>
        </w:rPr>
      </w:pPr>
    </w:p>
    <w:p>
      <w:pPr>
        <w:ind w:right="20" w:firstLine="315"/>
        <w:spacing w:after="0" w:line="285" w:lineRule="auto"/>
        <w:rPr>
          <w:sz w:val="20"/>
          <w:szCs w:val="20"/>
          <w:color w:val="auto"/>
        </w:rPr>
      </w:pPr>
      <w:r>
        <w:rPr>
          <w:rFonts w:ascii="Times New Roman" w:cs="Times New Roman" w:eastAsia="Times New Roman" w:hAnsi="Times New Roman"/>
          <w:sz w:val="16"/>
          <w:szCs w:val="16"/>
          <w:color w:val="auto"/>
        </w:rPr>
        <w:t>In assessing whether an impairment is credit loss related, the Company compares the present value of cash flows expected to be collected to the security's amortized cost basis. If the present value of cash flows expected to be collected is less than the amortized cost basis of the security, a credit loss exists, and an ACL is recorded. The Company discounts expected cash flows at the effective interest rate implicit in the security at the purchase date, adjusted for expected prepayments. For floating rate securities, the Company uses the floating rate as it changes over the life of the security. In developing estimates about cash flows expected to be collected and determining whether a credit loss exists, the Company considers information about past events, current conditions and reasonable and supportable forecasts. Factors and information that the Company uses in making its assessments include, but are not necessarily limited to, the following:</w:t>
      </w:r>
    </w:p>
    <w:p>
      <w:pPr>
        <w:spacing w:after="0" w:line="95" w:lineRule="exact"/>
        <w:rPr>
          <w:sz w:val="20"/>
          <w:szCs w:val="20"/>
          <w:color w:val="auto"/>
        </w:rPr>
      </w:pPr>
    </w:p>
    <w:p>
      <w:pPr>
        <w:ind w:left="640" w:hanging="319"/>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fair value is less than amortized cost;</w:t>
      </w:r>
    </w:p>
    <w:p>
      <w:pPr>
        <w:spacing w:after="0" w:line="200" w:lineRule="exact"/>
        <w:rPr>
          <w:sz w:val="20"/>
          <w:szCs w:val="20"/>
          <w:color w:val="auto"/>
        </w:rPr>
      </w:pPr>
    </w:p>
    <w:p>
      <w:pPr>
        <w:spacing w:after="0" w:line="3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1" w:right="359" w:bottom="1440" w:gutter="0" w:footer="0" w:header="0"/>
        </w:sectPr>
      </w:pPr>
    </w:p>
    <w:bookmarkStart w:id="85" w:name="page86"/>
    <w:bookmarkEnd w:id="85"/>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specifically related to the security, an industry or sector or geographic area;</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condition of the issuer or underlying loan obligors;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structure and remaining payment terms of the security, including levels of subordination or over-collateralization;</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issuer to make scheduled payments;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credit ratings;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market data;</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prepayments, defaults, and the value and performance of underlying collateral at the individual security level.</w:t>
      </w:r>
    </w:p>
    <w:p>
      <w:pPr>
        <w:spacing w:after="0" w:line="148" w:lineRule="exact"/>
        <w:rPr>
          <w:sz w:val="20"/>
          <w:szCs w:val="20"/>
          <w:color w:val="auto"/>
        </w:rPr>
      </w:pPr>
    </w:p>
    <w:p>
      <w:pPr>
        <w:ind w:right="640" w:firstLine="315"/>
        <w:spacing w:after="0" w:line="268" w:lineRule="auto"/>
        <w:rPr>
          <w:sz w:val="20"/>
          <w:szCs w:val="20"/>
          <w:color w:val="auto"/>
        </w:rPr>
      </w:pPr>
      <w:r>
        <w:rPr>
          <w:rFonts w:ascii="Times New Roman" w:cs="Times New Roman" w:eastAsia="Times New Roman" w:hAnsi="Times New Roman"/>
          <w:sz w:val="18"/>
          <w:szCs w:val="18"/>
          <w:color w:val="auto"/>
        </w:rPr>
        <w:t>The relative importance assigned to each of these factors varies depending on the facts and circumstances pertinent to the individual security being evaluated.</w:t>
      </w:r>
    </w:p>
    <w:p>
      <w:pPr>
        <w:spacing w:after="0" w:line="103" w:lineRule="exact"/>
        <w:rPr>
          <w:sz w:val="20"/>
          <w:szCs w:val="20"/>
          <w:color w:val="auto"/>
        </w:rPr>
      </w:pPr>
    </w:p>
    <w:p>
      <w:pPr>
        <w:ind w:right="20" w:firstLine="315"/>
        <w:spacing w:after="0" w:line="331" w:lineRule="auto"/>
        <w:rPr>
          <w:sz w:val="20"/>
          <w:szCs w:val="20"/>
          <w:color w:val="auto"/>
        </w:rPr>
      </w:pPr>
      <w:r>
        <w:rPr>
          <w:rFonts w:ascii="Times New Roman" w:cs="Times New Roman" w:eastAsia="Times New Roman" w:hAnsi="Times New Roman"/>
          <w:sz w:val="16"/>
          <w:szCs w:val="16"/>
          <w:color w:val="auto"/>
        </w:rPr>
        <w:t>Timely payment of principal and interest on securities issued by the U.S. government, U.S. government agencies and U.S. government sponsored entities is explicitly or implicitly guaranteed by the U.S. government. Therefore, the Company expects to recover the amortized cost basis of these securities.</w:t>
      </w:r>
    </w:p>
    <w:p>
      <w:pPr>
        <w:spacing w:after="0" w:line="45" w:lineRule="exact"/>
        <w:rPr>
          <w:sz w:val="20"/>
          <w:szCs w:val="20"/>
          <w:color w:val="auto"/>
        </w:rPr>
      </w:pPr>
    </w:p>
    <w:p>
      <w:pPr>
        <w:ind w:right="240" w:firstLine="315"/>
        <w:spacing w:after="0" w:line="256" w:lineRule="auto"/>
        <w:rPr>
          <w:sz w:val="20"/>
          <w:szCs w:val="20"/>
          <w:color w:val="auto"/>
        </w:rPr>
      </w:pPr>
      <w:r>
        <w:rPr>
          <w:rFonts w:ascii="Times New Roman" w:cs="Times New Roman" w:eastAsia="Times New Roman" w:hAnsi="Times New Roman"/>
          <w:sz w:val="18"/>
          <w:szCs w:val="18"/>
          <w:color w:val="auto"/>
        </w:rPr>
        <w:t>If the Company intends to sell a security in an unrealized loss position, or it is more likely than not that the Company will be required to sell the security before recovery of its amortized cost basis, any allowance for credit losses will be written off and the amortized cost basis will be written down to the debt security’s fair value at the reporting date with any incremental impairment reported in earnings.</w:t>
      </w:r>
    </w:p>
    <w:p>
      <w:pPr>
        <w:spacing w:after="0" w:line="113" w:lineRule="exact"/>
        <w:rPr>
          <w:sz w:val="20"/>
          <w:szCs w:val="20"/>
          <w:color w:val="auto"/>
        </w:rPr>
      </w:pPr>
    </w:p>
    <w:p>
      <w:pPr>
        <w:ind w:right="40" w:firstLine="315"/>
        <w:spacing w:after="0" w:line="256" w:lineRule="auto"/>
        <w:rPr>
          <w:sz w:val="20"/>
          <w:szCs w:val="20"/>
          <w:color w:val="auto"/>
        </w:rPr>
      </w:pPr>
      <w:r>
        <w:rPr>
          <w:rFonts w:ascii="Times New Roman" w:cs="Times New Roman" w:eastAsia="Times New Roman" w:hAnsi="Times New Roman"/>
          <w:sz w:val="18"/>
          <w:szCs w:val="18"/>
          <w:color w:val="auto"/>
        </w:rPr>
        <w:t>AFS securities will be charged off to the extent that there is no reasonable expectation of recovery of amortized cost basis. AFS securities will be placed on non-accrual status if the Company does not reasonably expect to receive interest payments in the future and interest accrued will be reversed against interest income. Securities will be returned to accrual status only when collection of interest is reasonably assured.</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Loans</w:t>
      </w:r>
    </w:p>
    <w:p>
      <w:pPr>
        <w:spacing w:after="0" w:line="163"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color w:val="auto"/>
        </w:rPr>
        <w:t>The ACL is a valuation account that is deducted from the amortized cost basis of loans to present the net amount expected to be collected. The ACL is adjusted through the provision for credit losses to the amount of amortized cost basis not expected to be collected, or in the case of PCD loans, the amount of UPB not expected to be collected, at the balance sheet date. Amortized cost basis includes UPB, unamortized premiums or discounts and deferred fees and costs, net of amounts previously charged off.</w:t>
      </w:r>
    </w:p>
    <w:p>
      <w:pPr>
        <w:spacing w:after="0" w:line="130" w:lineRule="exact"/>
        <w:rPr>
          <w:sz w:val="20"/>
          <w:szCs w:val="20"/>
          <w:color w:val="auto"/>
        </w:rPr>
      </w:pPr>
    </w:p>
    <w:p>
      <w:pPr>
        <w:jc w:val="both"/>
        <w:ind w:firstLine="315"/>
        <w:spacing w:after="0" w:line="293" w:lineRule="auto"/>
        <w:rPr>
          <w:sz w:val="20"/>
          <w:szCs w:val="20"/>
          <w:color w:val="auto"/>
        </w:rPr>
      </w:pPr>
      <w:r>
        <w:rPr>
          <w:rFonts w:ascii="Times New Roman" w:cs="Times New Roman" w:eastAsia="Times New Roman" w:hAnsi="Times New Roman"/>
          <w:sz w:val="16"/>
          <w:szCs w:val="16"/>
          <w:color w:val="auto"/>
        </w:rPr>
        <w:t>The measurement of expected credit losses encompasses information about historical events, current conditions and reasonable and supportable forecasts. Determining the amount of the ACL is complex and requires extensive judgment by management about matters that are inherently uncertain. Re-evaluation of the ACL estimate in future periods, in light of changes in composition and characteristics of the loan portfolio, changes in the reasonable and supportable forecast and other factors then prevailing may result in material changes in the amount of the ACL and credit loss expense in those future periods.</w:t>
      </w:r>
    </w:p>
    <w:p>
      <w:pPr>
        <w:spacing w:after="0" w:line="100"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Loans are charged off against the ACL in the period in which they are deemed uncollectible, and recoveries are credited to the ACL when received. Expected recoveries on loans previously charged off and expected to be charged-off, not to exceed the aggregate of amounts previously charged-off and expected to be charged-off, are included in the ACL estimate. For loans secured by residential real estate, an assessment of collateral value is made at no later than 120 days delinquency; any outstanding loan balance in excess of fair value less cost to sell is charged off at no later than 180 days delinquency. Additionally, any outstanding balance in excess of fair value of collateral less cost to sell is charged off (i) within 60 days of receipt of notification of filing from the bankruptcy court, (ii) within 60 days of determination of loss if all borrowers are deceased or (iii) within 90 days of discovery of fraudulent activity. Other consumer loans, which are not significant in the aggregate, are typically charged off at 120 days delinquency. Commercial loans are charged off when, in management's judgment, they are considered to be uncollectible.</w:t>
      </w: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86" w:name="page87"/>
    <w:bookmarkEnd w:id="86"/>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00" w:firstLine="315"/>
        <w:spacing w:after="0" w:line="252" w:lineRule="auto"/>
        <w:rPr>
          <w:sz w:val="20"/>
          <w:szCs w:val="20"/>
          <w:color w:val="auto"/>
        </w:rPr>
      </w:pPr>
      <w:r>
        <w:rPr>
          <w:rFonts w:ascii="Times New Roman" w:cs="Times New Roman" w:eastAsia="Times New Roman" w:hAnsi="Times New Roman"/>
          <w:sz w:val="18"/>
          <w:szCs w:val="18"/>
          <w:color w:val="auto"/>
        </w:rPr>
        <w:t>Expected credit losses are estimated on a collective basis for groups of loans that share similar risk characteristics. Factors that may be considered in aggregating loans for this purpose include but are not necessarily limited to, product or collateral type, industry, geography, internal risk rating, credit characteristics such as credit scores or collateral values, and historical or expected credit loss patterns. For loans that do not share similar risk characteristics with other loans such as collateral dependent loans, expected credit losses are estimated on an individual basis.</w:t>
      </w:r>
    </w:p>
    <w:p>
      <w:pPr>
        <w:spacing w:after="0" w:line="116" w:lineRule="exact"/>
        <w:rPr>
          <w:sz w:val="20"/>
          <w:szCs w:val="20"/>
          <w:color w:val="auto"/>
        </w:rPr>
      </w:pPr>
    </w:p>
    <w:p>
      <w:pPr>
        <w:ind w:right="340" w:firstLine="315"/>
        <w:spacing w:after="0" w:line="249" w:lineRule="auto"/>
        <w:rPr>
          <w:sz w:val="20"/>
          <w:szCs w:val="20"/>
          <w:color w:val="auto"/>
        </w:rPr>
      </w:pPr>
      <w:r>
        <w:rPr>
          <w:rFonts w:ascii="Times New Roman" w:cs="Times New Roman" w:eastAsia="Times New Roman" w:hAnsi="Times New Roman"/>
          <w:sz w:val="18"/>
          <w:szCs w:val="18"/>
          <w:color w:val="auto"/>
        </w:rPr>
        <w:t>Expected credit losses are estimated over the contractual terms of the loans, adjusted for expected prepayments. Expected prepayments for commercial loans are generally estimated based on the Company's historical experience. For residential loans, expected prepayments are estimated using a model that incorporates industry prepayment data, calibrated to reflect the Company's experience. The contractual term excludes expected extensions, renewals, and modifications unless the extension or renewal options are included in the original or modified contract at the reporting date and are not unconditionally cancellable by the Company.</w:t>
      </w:r>
    </w:p>
    <w:p>
      <w:pPr>
        <w:spacing w:after="0" w:line="122" w:lineRule="exact"/>
        <w:rPr>
          <w:sz w:val="20"/>
          <w:szCs w:val="20"/>
          <w:color w:val="auto"/>
        </w:rPr>
      </w:pPr>
    </w:p>
    <w:p>
      <w:pPr>
        <w:ind w:firstLine="315"/>
        <w:spacing w:after="0" w:line="246" w:lineRule="auto"/>
        <w:rPr>
          <w:sz w:val="20"/>
          <w:szCs w:val="20"/>
          <w:color w:val="auto"/>
        </w:rPr>
      </w:pPr>
      <w:r>
        <w:rPr>
          <w:rFonts w:ascii="Times New Roman" w:cs="Times New Roman" w:eastAsia="Times New Roman" w:hAnsi="Times New Roman"/>
          <w:sz w:val="18"/>
          <w:szCs w:val="18"/>
          <w:color w:val="auto"/>
        </w:rPr>
        <w:t>For the substantial majority of portfolio segments and subsegments, including residential loans other than government insured loans, and most commercial and commercial real estate loans, expected losses are estimated using econometric models. The models employ a factor based methodology, leveraging data sets containing extensive historical loss and recovery information by industry, geography, product type, collateral type and obligor characteristics, to estimate PD and LGD. Measures of PD for commercial loans incorporate current conditions through market cycle or credit cycle adjustments. For residential loans, the models consider FICO, adjusted LTVs and delinquency rates. PDs and LGDs are then conditioned on the reasonable and supportable economic forecast. Projected PDs and LGDs, determined based on pool level characteristics, are applied to estimated exposure at default, considering the contractual term and payment structure of loans, adjusted for expected prepayments, to generate estimates of expected loss. For criticized or classified loans, PDs are adjusted to benchmark PDs established for each risk rating given that the most current financial information available is often not reflective of the borrowers' current financial condition. The ACL estimate incorporates a reasonable and supportable economic forecast through the use of externally developed macroeconomic scenarios applied in the models.</w:t>
      </w:r>
    </w:p>
    <w:p>
      <w:pPr>
        <w:spacing w:after="0" w:line="139" w:lineRule="exact"/>
        <w:rPr>
          <w:sz w:val="20"/>
          <w:szCs w:val="20"/>
          <w:color w:val="auto"/>
        </w:rPr>
      </w:pPr>
    </w:p>
    <w:p>
      <w:pPr>
        <w:ind w:right="80" w:firstLine="315"/>
        <w:spacing w:after="0" w:line="248" w:lineRule="auto"/>
        <w:rPr>
          <w:sz w:val="20"/>
          <w:szCs w:val="20"/>
          <w:color w:val="auto"/>
        </w:rPr>
      </w:pPr>
      <w:r>
        <w:rPr>
          <w:rFonts w:ascii="Times New Roman" w:cs="Times New Roman" w:eastAsia="Times New Roman" w:hAnsi="Times New Roman"/>
          <w:sz w:val="18"/>
          <w:szCs w:val="18"/>
          <w:color w:val="auto"/>
        </w:rPr>
        <w:t>The length of the reasonable and supportable forecast period is evaluated at each reporting period and adjusted if deemed necessary. Currently, the Company uses a 2-year reasonable and supportable forecast period in estimating the ACL. After the reasonable and supportable forecast period, the models effectively revert to long-term mean losses on a straight-line basis over 12 months. ACL estimates incorporate a probability weighted blend of macroeconomic scenarios, with weights determined by an evaluation of each scenario’s key assumptions, the projected paths of principal economic variables, such as real GDP growth and the unemployment rate, and other relevant market indicators and consensus forecasts. The models ingest numerous national, regional and MSA level variables and data points.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Commercial Real Estate Model</w:t>
      </w:r>
    </w:p>
    <w:p>
      <w:pPr>
        <w:spacing w:after="0" w:line="163" w:lineRule="exact"/>
        <w:rPr>
          <w:sz w:val="20"/>
          <w:szCs w:val="20"/>
          <w:color w:val="auto"/>
        </w:rPr>
      </w:pPr>
    </w:p>
    <w:p>
      <w:pPr>
        <w:ind w:right="120" w:firstLine="315"/>
        <w:spacing w:after="0" w:line="252" w:lineRule="auto"/>
        <w:rPr>
          <w:sz w:val="20"/>
          <w:szCs w:val="20"/>
          <w:color w:val="auto"/>
        </w:rPr>
      </w:pPr>
      <w:r>
        <w:rPr>
          <w:rFonts w:ascii="Times New Roman" w:cs="Times New Roman" w:eastAsia="Times New Roman" w:hAnsi="Times New Roman"/>
          <w:sz w:val="18"/>
          <w:szCs w:val="18"/>
          <w:color w:val="auto"/>
        </w:rPr>
        <w:t>Variables with the most significant impact on the commercial real estate model include unemployment at both national and regional levels, the CRE property forecast by property type and sub-market, 10-year treasury yield, Baa corporate yield and real GDP growth, at the national level. Increases in unemployment and yields within the commercial real estate model result in increases in the ACL. Increases in real GDP growth and improvements in the CRE property forecasts reduce the reserve.</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Commercial Model</w:t>
      </w:r>
    </w:p>
    <w:p>
      <w:pPr>
        <w:spacing w:after="0" w:line="163" w:lineRule="exact"/>
        <w:rPr>
          <w:sz w:val="20"/>
          <w:szCs w:val="20"/>
          <w:color w:val="auto"/>
        </w:rPr>
      </w:pPr>
    </w:p>
    <w:p>
      <w:pPr>
        <w:ind w:right="320" w:firstLine="315"/>
        <w:spacing w:after="0" w:line="256" w:lineRule="auto"/>
        <w:rPr>
          <w:sz w:val="20"/>
          <w:szCs w:val="20"/>
          <w:color w:val="auto"/>
        </w:rPr>
      </w:pPr>
      <w:r>
        <w:rPr>
          <w:rFonts w:ascii="Times New Roman" w:cs="Times New Roman" w:eastAsia="Times New Roman" w:hAnsi="Times New Roman"/>
          <w:sz w:val="18"/>
          <w:szCs w:val="18"/>
          <w:color w:val="auto"/>
        </w:rPr>
        <w:t>Variables with the most significant impact on the commercial model include a stock market volatility index, the S&amp;P 500 index, unemployment at both national and regional levels, and a variety of interest rates and spreads. Increases in the unemployment rate, the stock market volatility index, and the Baa corporate yield increase the reserve, while increases in real GDP growth reduce the reserve.</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Residential Model</w:t>
      </w:r>
    </w:p>
    <w:p>
      <w:pPr>
        <w:spacing w:after="0" w:line="163" w:lineRule="exact"/>
        <w:rPr>
          <w:sz w:val="20"/>
          <w:szCs w:val="20"/>
          <w:color w:val="auto"/>
        </w:rPr>
      </w:pPr>
    </w:p>
    <w:p>
      <w:pPr>
        <w:ind w:right="140" w:firstLine="315"/>
        <w:spacing w:after="0" w:line="256" w:lineRule="auto"/>
        <w:rPr>
          <w:sz w:val="20"/>
          <w:szCs w:val="20"/>
          <w:color w:val="auto"/>
        </w:rPr>
      </w:pPr>
      <w:r>
        <w:rPr>
          <w:rFonts w:ascii="Times New Roman" w:cs="Times New Roman" w:eastAsia="Times New Roman" w:hAnsi="Times New Roman"/>
          <w:sz w:val="18"/>
          <w:szCs w:val="18"/>
          <w:color w:val="auto"/>
        </w:rPr>
        <w:t>Variables with the most significant impact on the residential model include HPI and unemployment at regional levels, real GDP growth, and a 30-year mortgage rate. Increases in the unemployment rate and the 30-year mortgage rate increase the reserve, while increases in real GDP growth and HPI reduce the reserve.</w:t>
      </w:r>
    </w:p>
    <w:p>
      <w:pPr>
        <w:spacing w:after="0" w:line="100" w:lineRule="exact"/>
        <w:rPr>
          <w:sz w:val="20"/>
          <w:szCs w:val="20"/>
          <w:color w:val="auto"/>
        </w:rPr>
      </w:pPr>
    </w:p>
    <w:p>
      <w:pPr>
        <w:ind w:right="20" w:firstLine="315"/>
        <w:spacing w:after="0" w:line="256" w:lineRule="auto"/>
        <w:rPr>
          <w:sz w:val="20"/>
          <w:szCs w:val="20"/>
          <w:color w:val="auto"/>
        </w:rPr>
      </w:pPr>
      <w:r>
        <w:rPr>
          <w:rFonts w:ascii="Times New Roman" w:cs="Times New Roman" w:eastAsia="Times New Roman" w:hAnsi="Times New Roman"/>
          <w:sz w:val="18"/>
          <w:szCs w:val="18"/>
          <w:color w:val="auto"/>
        </w:rPr>
        <w:t>For certain less material portfolios including loans and leases to state and local government entities originated by Pinnacle, small balance commercial loans and consumer loans, the WARM method is used to estimate expected credit losses. Loss rates are applied to the exposure at default, after factoring in amortization and expected prepayments. For the Pinnacle portfolio,</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87" w:name="page88"/>
    <w:bookmarkEnd w:id="87"/>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historical loss information is based on municipal historical default and recovery data, segmented by credit rating. For small balance commercial loans, historical loss information is based on the Company's historical loss experience over a ten year period. For consumer loans, historical loss information is based on peer data; this portfolio subsegment is not significant. All loss estimates are conditioned as applicable on changes in current conditions and the reasonable and supportable economic forecast. Expected credit losses for the funded portion of mortgage warehouse lines of credit are estimated based primarily on the Company's historical loss experience, conditioned as applicable on changes in current conditions and the reasonable and supportable economic forecast. Generally, given the nature of these loans, losses would be expected to manifest within a very short time period after origination.</w:t>
      </w:r>
    </w:p>
    <w:p>
      <w:pPr>
        <w:spacing w:after="0" w:line="123" w:lineRule="exact"/>
        <w:rPr>
          <w:sz w:val="20"/>
          <w:szCs w:val="20"/>
          <w:color w:val="auto"/>
        </w:rPr>
      </w:pPr>
    </w:p>
    <w:p>
      <w:pPr>
        <w:ind w:right="360" w:firstLine="315"/>
        <w:spacing w:after="0" w:line="268" w:lineRule="auto"/>
        <w:rPr>
          <w:sz w:val="20"/>
          <w:szCs w:val="20"/>
          <w:color w:val="auto"/>
        </w:rPr>
      </w:pPr>
      <w:r>
        <w:rPr>
          <w:rFonts w:ascii="Times New Roman" w:cs="Times New Roman" w:eastAsia="Times New Roman" w:hAnsi="Times New Roman"/>
          <w:sz w:val="18"/>
          <w:szCs w:val="18"/>
          <w:color w:val="auto"/>
        </w:rPr>
        <w:t>The Company expects to collect the amortized cost basis of government insured residential loans due to the nature of the government guarantee, so the ACL is zero for these loans.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Qualitative factors</w:t>
      </w:r>
    </w:p>
    <w:p>
      <w:pPr>
        <w:spacing w:after="0" w:line="137" w:lineRule="exact"/>
        <w:rPr>
          <w:sz w:val="20"/>
          <w:szCs w:val="20"/>
          <w:color w:val="auto"/>
        </w:rPr>
      </w:pPr>
    </w:p>
    <w:p>
      <w:pPr>
        <w:ind w:right="140" w:firstLine="315"/>
        <w:spacing w:after="0" w:line="252" w:lineRule="auto"/>
        <w:rPr>
          <w:sz w:val="20"/>
          <w:szCs w:val="20"/>
          <w:color w:val="auto"/>
        </w:rPr>
      </w:pPr>
      <w:r>
        <w:rPr>
          <w:rFonts w:ascii="Times New Roman" w:cs="Times New Roman" w:eastAsia="Times New Roman" w:hAnsi="Times New Roman"/>
          <w:sz w:val="18"/>
          <w:szCs w:val="18"/>
          <w:color w:val="auto"/>
        </w:rPr>
        <w:t>Quantitative models have certain inherent limitations with respect to estimating expected losses. These limitations may be more prevalent in times of rapidly changing or unprecedented economic conditions and forecasts. Qualitative adjustments are made to the ACL when, based on management’s judgment, there are factors impacting expected credit losses not taken into account by the quantitative calculations. Potential qualitative adjustments are categorized as follows:</w:t>
      </w:r>
    </w:p>
    <w:p>
      <w:pPr>
        <w:spacing w:after="0" w:line="116" w:lineRule="exact"/>
        <w:rPr>
          <w:sz w:val="20"/>
          <w:szCs w:val="20"/>
          <w:color w:val="auto"/>
        </w:rPr>
      </w:pPr>
    </w:p>
    <w:p>
      <w:pPr>
        <w:ind w:left="640" w:right="100" w:hanging="319"/>
        <w:spacing w:after="0" w:line="268"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material uncertainties, trends and developments that, in management's judgment, may not have been adequately reflected in the reasonable and supportable economic forecast;</w:t>
      </w:r>
    </w:p>
    <w:p>
      <w:pPr>
        <w:spacing w:after="0" w:line="50" w:lineRule="exact"/>
        <w:rPr>
          <w:rFonts w:ascii="Times New Roman" w:cs="Times New Roman" w:eastAsia="Times New Roman" w:hAnsi="Times New Roman"/>
          <w:sz w:val="18"/>
          <w:szCs w:val="18"/>
          <w:color w:val="auto"/>
        </w:rPr>
      </w:pPr>
    </w:p>
    <w:p>
      <w:pPr>
        <w:jc w:val="both"/>
        <w:ind w:left="640" w:right="220" w:hanging="319"/>
        <w:spacing w:after="0" w:line="256"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policy and staffing, including the nature and level of policy and procedural exceptions or changes in credit policy not reflected in quantitative results, changes in the quality of underwriting and portfolio management and staff and issues identified by credit review, internal audit or regulators that may not be reflected in quantitative results;</w:t>
      </w:r>
    </w:p>
    <w:p>
      <w:pPr>
        <w:spacing w:after="0" w:line="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considering whether the quantitative estimate adequately accounts for concentration risk in the portfolio;</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 imprecision and model validation findings; and</w:t>
      </w:r>
    </w:p>
    <w:p>
      <w:pPr>
        <w:spacing w:after="0" w:line="95" w:lineRule="exact"/>
        <w:rPr>
          <w:rFonts w:ascii="Times New Roman" w:cs="Times New Roman" w:eastAsia="Times New Roman" w:hAnsi="Times New Roman"/>
          <w:sz w:val="18"/>
          <w:szCs w:val="18"/>
          <w:color w:val="auto"/>
        </w:rPr>
      </w:pPr>
    </w:p>
    <w:p>
      <w:pPr>
        <w:ind w:left="640" w:right="480" w:hanging="319"/>
        <w:spacing w:after="0" w:line="268"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not adequately considered in the quantitative estimate or other qualitative categories identified by management that may materially impact the amount of expected credit losses.</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Collateral dependent loans</w:t>
      </w:r>
    </w:p>
    <w:p>
      <w:pPr>
        <w:spacing w:after="0" w:line="150" w:lineRule="exact"/>
        <w:rPr>
          <w:sz w:val="20"/>
          <w:szCs w:val="20"/>
          <w:color w:val="auto"/>
        </w:rPr>
      </w:pPr>
    </w:p>
    <w:p>
      <w:pPr>
        <w:ind w:right="80" w:firstLine="315"/>
        <w:spacing w:after="0" w:line="248" w:lineRule="auto"/>
        <w:rPr>
          <w:sz w:val="20"/>
          <w:szCs w:val="20"/>
          <w:color w:val="auto"/>
        </w:rPr>
      </w:pPr>
      <w:r>
        <w:rPr>
          <w:rFonts w:ascii="Times New Roman" w:cs="Times New Roman" w:eastAsia="Times New Roman" w:hAnsi="Times New Roman"/>
          <w:sz w:val="18"/>
          <w:szCs w:val="18"/>
          <w:color w:val="auto"/>
        </w:rPr>
        <w:t>Collateral dependent loans are those for which the borrower is experiencing financial difficulty and repayment is expected to be provided substantially through the operation or sale of the collateral. These loans do not typically share similar risk characteristics with other loans and expected credit losses are evaluated on an individual basis. Loans evaluated individually are not included in the collective evaluation. Estimates of expected credit losses for collateral dependent loans, whether or not foreclosure is probable, are based on the fair value of the collateral, adjusted for selling costs when repayment depends on sale of the collateral. Due to immateriality, expected credit losses for collateral dependent commercial relationships with committed balances less than $1.0 million may be estimated collectively.</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Off-balance sheet credit exposures</w:t>
      </w:r>
    </w:p>
    <w:p>
      <w:pPr>
        <w:spacing w:after="0" w:line="137" w:lineRule="exact"/>
        <w:rPr>
          <w:sz w:val="20"/>
          <w:szCs w:val="20"/>
          <w:color w:val="auto"/>
        </w:rPr>
      </w:pPr>
    </w:p>
    <w:p>
      <w:pPr>
        <w:ind w:firstLine="315"/>
        <w:spacing w:after="0" w:line="248" w:lineRule="auto"/>
        <w:rPr>
          <w:sz w:val="20"/>
          <w:szCs w:val="20"/>
          <w:color w:val="auto"/>
        </w:rPr>
      </w:pPr>
      <w:r>
        <w:rPr>
          <w:rFonts w:ascii="Times New Roman" w:cs="Times New Roman" w:eastAsia="Times New Roman" w:hAnsi="Times New Roman"/>
          <w:sz w:val="18"/>
          <w:szCs w:val="18"/>
          <w:color w:val="auto"/>
        </w:rPr>
        <w:t>Expected credit losses related to off-balance sheet credit exposures are estimated over the contractual period for which the Company is exposed to credit risk via a contractual obligation to extend credit, unless that obligation is unconditionally cancellable by the Company. Expected credit losses are estimated using essentially the same methodologies employed to estimate expected credit losses on the amortized cost basis of loans, taking into consideration the likelihood and amount of additional amounts expected to be funded over the terms of the commitments. The liability for credit losses on off-balance sheet credit exposures is presented within "other liabilities" on the consolidated balance sheets, distinct from the ACL. Adjustments to the liability are included in the provision for credit losses.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Accrued Interest Receivable</w:t>
      </w:r>
    </w:p>
    <w:p>
      <w:pPr>
        <w:spacing w:after="0" w:line="165"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color w:val="auto"/>
        </w:rPr>
        <w:t>The Company has elected to present accrued interest receivable separate from the amortized cost basis of financial assets carried at amortized cost. The Company excludes accrued interest receivable balances from tabular disclosures about financial assets carried at amortized cost. The Company generally does not estimate an ACL on accrued interest receivable balances since uncollectible accrued interest is timely written off in accordance with the Company's accounting policies for non-accrual</w:t>
      </w: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88" w:name="page89"/>
    <w:bookmarkEnd w:id="88"/>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loans. Under unusual circumstances, the Company evaluates whether its non-accrual policies continue to consistently provide for timely reversal of accrued interest receivable. If considered necessary, the Company records an allowance for uncollectible accrued interest receivable, determined using essentially the same methodologies used to estimate the ACL on the amortized cost basis of the related loans. The allowance is deducted from accrued interest receivable and presented within other assets on the consolidated balance sheets, distinct from the ACL. Changes in the ACL related to accrued interest receivable are included in the provision for credit losses.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52" w:lineRule="exact"/>
        <w:rPr>
          <w:sz w:val="20"/>
          <w:szCs w:val="20"/>
          <w:color w:val="auto"/>
        </w:rPr>
      </w:pPr>
    </w:p>
    <w:p>
      <w:pPr>
        <w:ind w:right="60" w:firstLine="315"/>
        <w:spacing w:after="0" w:line="279" w:lineRule="auto"/>
        <w:rPr>
          <w:sz w:val="20"/>
          <w:szCs w:val="20"/>
          <w:color w:val="auto"/>
        </w:rPr>
      </w:pPr>
      <w:r>
        <w:rPr>
          <w:rFonts w:ascii="Times New Roman" w:cs="Times New Roman" w:eastAsia="Times New Roman" w:hAnsi="Times New Roman"/>
          <w:sz w:val="16"/>
          <w:szCs w:val="16"/>
          <w:color w:val="auto"/>
        </w:rPr>
        <w:t>The Company determines whether a contract is or contains a lease at inception. For leases with terms greater than 12 months under which the Company is lessee, ROU assets and lease liabilities are recorded at the commencement date. Lease liabilities are initially recorded based on the present value of future lease payments over the lease term. ROU assets are initially recorded at the amount of the associated lease liabilities plus prepaid lease payments and initial direct costs, less any lease incentives received. The cost of short term leases is recognized on a straight line basis over the lease term. The lease term includes options to extend if the exercise of those options is reasonably certain and includes periods covered by termination options if there is reasonable certainty the options will not be exercised. Lease payments are discounted using the Company's FHLB borrowing rate for borrowings of a similar term unless an implicit rate is defined in the contract or is determinable, which is generally not the case. Leases are classified as financing or operating leases at commencement; generally, leases are classified as finance leases when effective control of the underlying asset is transferred. The substantial majority of leases under which the Company is lessee are classified as operating leases. For operating leases, lease cost is recognized in the consolidated statements of income on a straight line basis over the lease terms. For finance leases, interest expense on lease liabilities is recognized on the effective interest method and amortization of ROU assets is recognized on a straight line basis over the lease terms. Variable lease costs are recognized in the period in which the obligation for those costs is incurred. The Company has elected not to separate lease from non-lease components of its lease contracts.</w:t>
      </w: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Bank Owned Life Insurance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Bank owned life insurance is carried at cash surrender value. Changes in cash surrender value are recorded in non-interest income.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Equipment</w:t>
      </w:r>
    </w:p>
    <w:p>
      <w:pPr>
        <w:spacing w:after="0" w:line="139" w:lineRule="exact"/>
        <w:rPr>
          <w:sz w:val="20"/>
          <w:szCs w:val="20"/>
          <w:color w:val="auto"/>
        </w:rPr>
      </w:pPr>
    </w:p>
    <w:p>
      <w:pPr>
        <w:ind w:right="40" w:firstLine="315"/>
        <w:spacing w:after="0" w:line="252" w:lineRule="auto"/>
        <w:rPr>
          <w:sz w:val="20"/>
          <w:szCs w:val="20"/>
          <w:color w:val="auto"/>
        </w:rPr>
      </w:pPr>
      <w:r>
        <w:rPr>
          <w:rFonts w:ascii="Times New Roman" w:cs="Times New Roman" w:eastAsia="Times New Roman" w:hAnsi="Times New Roman"/>
          <w:sz w:val="18"/>
          <w:szCs w:val="18"/>
          <w:color w:val="auto"/>
        </w:rPr>
        <w:t>Operating lease equipment is carried at cost less accumulated depreciation and is depreciated to estimated residual value using the straight-line method over the lease term. Estimated residual values are re-evaluated at least annually, based primarily on current residual value appraisals. Equipment held for sale is carried at the lower of carrying amount or estimated fair value less costs to sell and is included in other assets in the accompanying consolidated balance sheets. Rental revenue is recognized on a straight-line basis over the contractual term of the lease.</w:t>
      </w:r>
    </w:p>
    <w:p>
      <w:pPr>
        <w:spacing w:after="0" w:line="116" w:lineRule="exact"/>
        <w:rPr>
          <w:sz w:val="20"/>
          <w:szCs w:val="20"/>
          <w:color w:val="auto"/>
        </w:rPr>
      </w:pPr>
    </w:p>
    <w:p>
      <w:pPr>
        <w:ind w:right="160" w:firstLine="315"/>
        <w:spacing w:after="0" w:line="252" w:lineRule="auto"/>
        <w:rPr>
          <w:sz w:val="20"/>
          <w:szCs w:val="20"/>
          <w:color w:val="auto"/>
        </w:rPr>
      </w:pPr>
      <w:r>
        <w:rPr>
          <w:rFonts w:ascii="Times New Roman" w:cs="Times New Roman" w:eastAsia="Times New Roman" w:hAnsi="Times New Roman"/>
          <w:sz w:val="18"/>
          <w:szCs w:val="18"/>
          <w:color w:val="auto"/>
        </w:rPr>
        <w:t>A review for impairment of equipment under operating lease is performed annually or when events or changes in circumstances indicate that the carrying amount of long-lived assets may not be recoverable. Impairment of assets is determined by comparing the carrying amount to future undiscounted net cash flows expected to be generated. If an asset is impaired, the measure of impairment is the amount by which the carrying amount exceeds the fair value of the asset.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52" w:lineRule="exact"/>
        <w:rPr>
          <w:sz w:val="20"/>
          <w:szCs w:val="20"/>
          <w:color w:val="auto"/>
        </w:rPr>
      </w:pPr>
    </w:p>
    <w:p>
      <w:pPr>
        <w:jc w:val="both"/>
        <w:ind w:right="240" w:firstLine="315"/>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consideration transferred in business combinations over the fair value of net tangible and identifiable intangible assets acquired. Goodwill is not amortized, but is tested for impairment annually, during the fourth quarter of each year, or more frequently if events or changes in circumstances indicate that impairment may have occurred. The Company has a single reporting unit.</w:t>
      </w:r>
    </w:p>
    <w:p>
      <w:pPr>
        <w:spacing w:after="0" w:line="100" w:lineRule="exact"/>
        <w:rPr>
          <w:sz w:val="20"/>
          <w:szCs w:val="20"/>
          <w:color w:val="auto"/>
        </w:rPr>
      </w:pPr>
    </w:p>
    <w:p>
      <w:pPr>
        <w:ind w:firstLine="315"/>
        <w:spacing w:after="0" w:line="249" w:lineRule="auto"/>
        <w:rPr>
          <w:sz w:val="20"/>
          <w:szCs w:val="20"/>
          <w:color w:val="auto"/>
        </w:rPr>
      </w:pPr>
      <w:r>
        <w:rPr>
          <w:rFonts w:ascii="Times New Roman" w:cs="Times New Roman" w:eastAsia="Times New Roman" w:hAnsi="Times New Roman"/>
          <w:sz w:val="18"/>
          <w:szCs w:val="18"/>
          <w:color w:val="auto"/>
        </w:rPr>
        <w:t>When assessing goodwill for impairment, the Company may elect to perform a qualitative assessment to determine if a quantitative impairment test is necessary. If a qualitative assessment is not performed, or if the qualitative assessment indicates it is more likely than not that the fair value of a reporting unit is less than its carrying amount, a quantitative test is performed. The quantitative impairment test compares the estimated fair value of the reporting unit to its carrying amount. If the fair value of the reporting unit exceeds its carrying amount, no impairment is indicated. If the fair value of the reporting unit is less than its carrying amount, impairment of goodwill is measured as the excess of the carrying amount over fair value.</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89" w:name="page90"/>
    <w:bookmarkEnd w:id="89"/>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OREO and Repossessed Assets</w:t>
      </w:r>
    </w:p>
    <w:p>
      <w:pPr>
        <w:spacing w:after="0" w:line="139" w:lineRule="exact"/>
        <w:rPr>
          <w:sz w:val="20"/>
          <w:szCs w:val="20"/>
          <w:color w:val="auto"/>
        </w:rPr>
      </w:pPr>
    </w:p>
    <w:p>
      <w:pPr>
        <w:ind w:right="60" w:firstLine="315"/>
        <w:spacing w:after="0" w:line="248" w:lineRule="auto"/>
        <w:rPr>
          <w:sz w:val="20"/>
          <w:szCs w:val="20"/>
          <w:color w:val="auto"/>
        </w:rPr>
      </w:pPr>
      <w:r>
        <w:rPr>
          <w:rFonts w:ascii="Times New Roman" w:cs="Times New Roman" w:eastAsia="Times New Roman" w:hAnsi="Times New Roman"/>
          <w:sz w:val="18"/>
          <w:szCs w:val="18"/>
          <w:color w:val="auto"/>
        </w:rPr>
        <w:t>OREO and repossessed assets consists of real estate assets acquired through, or in lieu of, loan foreclosure and personal property acquired through repossession. Such assets are included in other assets in the accompanying consolidated balance sheets. These assets are held for sale and are initially recorded at estimated fair value less costs to sell, establishing a new cost basis. Subsequent to acquisition, periodic valuations are performed, and the assets are carried at the lower of the carrying amount at the date of acquisition or estimated fair value less cost to sell. Significant property improvements are capitalized to the extent that the resulting carrying value does not exceed fair value less cost to sell. Legal fees, maintenance, taxes, insurance and other direct costs of holding and maintaining these assets are expensed as incurred.</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Premises and Equipment</w:t>
      </w:r>
    </w:p>
    <w:p>
      <w:pPr>
        <w:spacing w:after="0" w:line="152" w:lineRule="exact"/>
        <w:rPr>
          <w:sz w:val="20"/>
          <w:szCs w:val="20"/>
          <w:color w:val="auto"/>
        </w:rPr>
      </w:pPr>
    </w:p>
    <w:p>
      <w:pPr>
        <w:ind w:right="80" w:firstLine="315"/>
        <w:spacing w:after="0" w:line="248" w:lineRule="auto"/>
        <w:rPr>
          <w:sz w:val="20"/>
          <w:szCs w:val="20"/>
          <w:color w:val="auto"/>
        </w:rPr>
      </w:pPr>
      <w:r>
        <w:rPr>
          <w:rFonts w:ascii="Times New Roman" w:cs="Times New Roman" w:eastAsia="Times New Roman" w:hAnsi="Times New Roman"/>
          <w:sz w:val="18"/>
          <w:szCs w:val="18"/>
          <w:color w:val="auto"/>
        </w:rPr>
        <w:t>Premises and equipment are carried at cost less accumulated depreciation and amortization and are included in other assets in the accompanying consolidated balance sheets. The Company measures assets held for sale at the lower of carrying amount or estimated fair value. Depreciation is calculated using the straight-line method over the estimated useful lives of the assets. The lives of improvements to existing buildings are based on the lesser of the estimated remaining lives of the buildings or the estimated useful lives of the improvements. Leasehold improvements are amortized over the shorter of the expected terms of the leases at inception, considering options to extend that are reasonably assured, or their useful lives. The estimated useful lives of premises and equipment are as follows:</w:t>
      </w:r>
    </w:p>
    <w:p>
      <w:pPr>
        <w:spacing w:after="0" w:line="123" w:lineRule="exact"/>
        <w:rPr>
          <w:sz w:val="20"/>
          <w:szCs w:val="20"/>
          <w:color w:val="auto"/>
        </w:rPr>
      </w:pPr>
    </w:p>
    <w:p>
      <w:pPr>
        <w:ind w:left="640" w:hanging="319"/>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buildings and improvements - 10 years;</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- 3 to 20 years;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 and automobiles - 5 to 15 years;</w:t>
      </w:r>
    </w:p>
    <w:p>
      <w:pPr>
        <w:spacing w:after="0" w:line="14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fixtures and equipment - 5 to 7 years; and</w:t>
      </w:r>
    </w:p>
    <w:p>
      <w:pPr>
        <w:spacing w:after="0" w:line="13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equipment - 3 to 5 years.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52" w:lineRule="exact"/>
        <w:rPr>
          <w:sz w:val="20"/>
          <w:szCs w:val="20"/>
          <w:color w:val="auto"/>
        </w:rPr>
      </w:pPr>
    </w:p>
    <w:p>
      <w:pPr>
        <w:ind w:right="240" w:firstLine="315"/>
        <w:spacing w:after="0" w:line="248" w:lineRule="auto"/>
        <w:rPr>
          <w:sz w:val="20"/>
          <w:szCs w:val="20"/>
          <w:color w:val="auto"/>
        </w:rPr>
      </w:pPr>
      <w:r>
        <w:rPr>
          <w:rFonts w:ascii="Times New Roman" w:cs="Times New Roman" w:eastAsia="Times New Roman" w:hAnsi="Times New Roman"/>
          <w:sz w:val="18"/>
          <w:szCs w:val="18"/>
          <w:color w:val="auto"/>
        </w:rPr>
        <w:t>Capitalized software, stated at cost less accumulated depreciation and amortization, includes CCA and capitalized implementation costs associated with hosting arrangements. Capitalized software is included in other assets in the accompanying consolidated balance sheets. Depreciation and amortization are calculated using the straight-line method over the estimated useful lives of the assets, which for CCA is based on the term of the associated hosting arrangements plus any reasonably certain renewals. Direct costs associated with developing or obtaining and implementing internal use software and hosting arrangements that are service contracts incurred during the application development stage are capitalized. The estimated useful lives of software, software licensing rights and CCA implementation costs range from 3 to 5 years.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52525"/>
        </w:rPr>
        <w:t>Investments in Affordable Housing Limited Partnerships</w:t>
      </w:r>
    </w:p>
    <w:p>
      <w:pPr>
        <w:spacing w:after="0" w:line="139" w:lineRule="exact"/>
        <w:rPr>
          <w:sz w:val="20"/>
          <w:szCs w:val="20"/>
          <w:color w:val="auto"/>
        </w:rPr>
      </w:pPr>
    </w:p>
    <w:p>
      <w:pPr>
        <w:ind w:firstLine="315"/>
        <w:spacing w:after="0" w:line="285" w:lineRule="auto"/>
        <w:rPr>
          <w:sz w:val="20"/>
          <w:szCs w:val="20"/>
          <w:color w:val="auto"/>
        </w:rPr>
      </w:pPr>
      <w:r>
        <w:rPr>
          <w:rFonts w:ascii="Times New Roman" w:cs="Times New Roman" w:eastAsia="Times New Roman" w:hAnsi="Times New Roman"/>
          <w:sz w:val="16"/>
          <w:szCs w:val="16"/>
          <w:color w:val="252525"/>
        </w:rPr>
        <w:t xml:space="preserve">The Company has acquired investments in limited partnerships that </w:t>
      </w:r>
      <w:r>
        <w:rPr>
          <w:rFonts w:ascii="Times New Roman" w:cs="Times New Roman" w:eastAsia="Times New Roman" w:hAnsi="Times New Roman"/>
          <w:sz w:val="16"/>
          <w:szCs w:val="16"/>
          <w:color w:val="000000"/>
        </w:rPr>
        <w:t>manage or invest in qualified affordable housing projects and</w:t>
      </w:r>
      <w:r>
        <w:rPr>
          <w:rFonts w:ascii="Times New Roman" w:cs="Times New Roman" w:eastAsia="Times New Roman" w:hAnsi="Times New Roman"/>
          <w:sz w:val="16"/>
          <w:szCs w:val="16"/>
          <w:color w:val="252525"/>
        </w:rPr>
        <w:t xml:space="preserve"> provide the Company with low-income housing tax credits and other tax benefits. These investments are included in other assets in the accompanying consolidated balance sheets. The Company accounts for investments in qualified affordable housing projects using the proportional amortization method if certain criteria are met. Under the proportional amortization method, the initial cost of the investment is amortized in proportion to the tax credits and other tax benefits received and the amortization is recognized in the income statement as a component of income tax expense. </w:t>
      </w:r>
      <w:r>
        <w:rPr>
          <w:rFonts w:ascii="Times New Roman" w:cs="Times New Roman" w:eastAsia="Times New Roman" w:hAnsi="Times New Roman"/>
          <w:sz w:val="16"/>
          <w:szCs w:val="16"/>
          <w:color w:val="000000"/>
        </w:rPr>
        <w:t>The investments are evaluated for impairment when events or</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color w:val="000000"/>
        </w:rPr>
        <w:t>changes in circumstances indicate that it may be more likely than not that the carrying amount of the investment will not be realized.</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52" w:lineRule="exact"/>
        <w:rPr>
          <w:sz w:val="20"/>
          <w:szCs w:val="20"/>
          <w:color w:val="auto"/>
        </w:rPr>
      </w:pPr>
    </w:p>
    <w:p>
      <w:pPr>
        <w:ind w:right="140" w:firstLine="315"/>
        <w:spacing w:after="0" w:line="249"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Deferred tax assets and liabilities are determined based on differences between the financial reporting and tax bases of assets and liabilities using enacted tax rates in effect for periods in which the differences are expected to reverse. The effect of changes in tax rates on deferred tax assets and liabilities are recognized in income in the period that includes the enactment date. A valuation allowance is established for deferred tax assets when management determines that it is more likely than not that some portion or all of a deferred tax asset</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90" w:name="page91"/>
    <w:bookmarkEnd w:id="90"/>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18"/>
          <w:szCs w:val="18"/>
          <w:color w:val="auto"/>
        </w:rPr>
        <w:t>will not be realized. In making such determinations, the Company considers all available positive and negative evidence that may impact the realization of deferred tax assets. These considerations include the amount of taxable income generated in statutory carryback periods, future reversals of existing taxable temporary differences, projected future taxable income and available tax planning strategies.</w:t>
      </w:r>
    </w:p>
    <w:p>
      <w:pPr>
        <w:spacing w:after="0" w:line="113" w:lineRule="exact"/>
        <w:rPr>
          <w:sz w:val="20"/>
          <w:szCs w:val="20"/>
          <w:color w:val="auto"/>
        </w:rPr>
      </w:pPr>
    </w:p>
    <w:p>
      <w:pPr>
        <w:ind w:firstLine="315"/>
        <w:spacing w:after="0" w:line="278" w:lineRule="auto"/>
        <w:rPr>
          <w:sz w:val="20"/>
          <w:szCs w:val="20"/>
          <w:color w:val="auto"/>
        </w:rPr>
      </w:pPr>
      <w:r>
        <w:rPr>
          <w:rFonts w:ascii="Times New Roman" w:cs="Times New Roman" w:eastAsia="Times New Roman" w:hAnsi="Times New Roman"/>
          <w:sz w:val="16"/>
          <w:szCs w:val="16"/>
          <w:color w:val="auto"/>
        </w:rPr>
        <w:t>The Company recognizes tax benefits from uncertain tax positions when it is more likely than not that the related tax positions will be sustained upon examination, including resolutions of any related appeals or litigation processes, based on the technical merits of the tax positions. An uncertain tax position is a position taken in a previously filed tax return or a position expected to be taken in a future tax return that is not based on clear and unambiguous tax law. The Company measures tax benefits related to uncertain tax positions based on the largest benefit that has a greater than 50% likelihood of being realized upon settlement. If the initial assessment fails to result in recognition of a tax benefit, the Company subsequently recognizes a tax benefit if: (i) there are changes in tax law or case law that raise the likelihood of prevailing on the technical merits of the position to more-likely-than-not, (ii) the statute of limitations expires, or</w:t>
      </w:r>
    </w:p>
    <w:p>
      <w:pPr>
        <w:spacing w:after="0" w:line="1" w:lineRule="exact"/>
        <w:rPr>
          <w:sz w:val="20"/>
          <w:szCs w:val="20"/>
          <w:color w:val="auto"/>
        </w:rPr>
      </w:pPr>
    </w:p>
    <w:p>
      <w:pPr>
        <w:ind w:right="300" w:firstLine="5"/>
        <w:spacing w:after="0" w:line="247" w:lineRule="auto"/>
        <w:tabs>
          <w:tab w:leader="none" w:pos="3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examination results in a settlement of that tax year or position with the appropriate agency. The Company recognizes interest and penalties related to uncertain tax positions as well as interest income or expense related to tax settlements in the provision for income taxes.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Equity Based Compensation</w:t>
      </w:r>
    </w:p>
    <w:p>
      <w:pPr>
        <w:spacing w:after="0" w:line="152" w:lineRule="exact"/>
        <w:rPr>
          <w:sz w:val="20"/>
          <w:szCs w:val="20"/>
          <w:color w:val="auto"/>
        </w:rPr>
      </w:pPr>
    </w:p>
    <w:p>
      <w:pPr>
        <w:ind w:right="160" w:firstLine="315"/>
        <w:spacing w:after="0" w:line="247" w:lineRule="auto"/>
        <w:rPr>
          <w:sz w:val="20"/>
          <w:szCs w:val="20"/>
          <w:color w:val="auto"/>
        </w:rPr>
      </w:pPr>
      <w:r>
        <w:rPr>
          <w:rFonts w:ascii="Times New Roman" w:cs="Times New Roman" w:eastAsia="Times New Roman" w:hAnsi="Times New Roman"/>
          <w:sz w:val="18"/>
          <w:szCs w:val="18"/>
          <w:color w:val="auto"/>
        </w:rPr>
        <w:t>The Company periodically grants unvested or restricted shares of common stock and other share-based awards to key employees. For equity-classified awards, compensation cost is measured based on the estimated fair value of the awards at the grant date and is recognized in earnings on a straight-line basis over the requisite service period for each award. Liability-classified awards are remeasured each reporting period at fair value until the award is settled, and compensation cost is recognized in earnings on a straight-line basis over the requisite service period for each award, adjusted for changes in fair value each reporting period. Compensation cost related to awards that embody performance conditions is recognized when it is probable that the performance conditions will be achieved. The number of awards expected to vest is estimated in determining the amount of compensation cost to be recognized related to share-based payments.</w:t>
      </w:r>
    </w:p>
    <w:p>
      <w:pPr>
        <w:spacing w:after="0" w:line="112" w:lineRule="exact"/>
        <w:rPr>
          <w:sz w:val="20"/>
          <w:szCs w:val="20"/>
          <w:color w:val="auto"/>
        </w:rPr>
      </w:pPr>
    </w:p>
    <w:p>
      <w:pPr>
        <w:ind w:right="280" w:firstLine="315"/>
        <w:spacing w:after="0" w:line="268" w:lineRule="auto"/>
        <w:rPr>
          <w:sz w:val="20"/>
          <w:szCs w:val="20"/>
          <w:color w:val="auto"/>
        </w:rPr>
      </w:pPr>
      <w:r>
        <w:rPr>
          <w:rFonts w:ascii="Times New Roman" w:cs="Times New Roman" w:eastAsia="Times New Roman" w:hAnsi="Times New Roman"/>
          <w:sz w:val="18"/>
          <w:szCs w:val="18"/>
          <w:color w:val="auto"/>
        </w:rPr>
        <w:t>The fair value of unvested shares is generally based on the closing market price of the Company's common stock at the date of grant. Market conditions embedded in awards are reflected in the grant-date fair value of the awards.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Capital Markets Income</w:t>
      </w:r>
    </w:p>
    <w:p>
      <w:pPr>
        <w:spacing w:after="0" w:line="152" w:lineRule="exact"/>
        <w:rPr>
          <w:sz w:val="20"/>
          <w:szCs w:val="20"/>
          <w:color w:val="auto"/>
        </w:rPr>
      </w:pPr>
    </w:p>
    <w:p>
      <w:pPr>
        <w:ind w:firstLine="315"/>
        <w:spacing w:after="0" w:line="241" w:lineRule="auto"/>
        <w:rPr>
          <w:sz w:val="20"/>
          <w:szCs w:val="20"/>
          <w:color w:val="auto"/>
        </w:rPr>
      </w:pPr>
      <w:r>
        <w:rPr>
          <w:rFonts w:ascii="Times New Roman" w:cs="Times New Roman" w:eastAsia="Times New Roman" w:hAnsi="Times New Roman"/>
          <w:sz w:val="18"/>
          <w:szCs w:val="18"/>
          <w:color w:val="auto"/>
        </w:rPr>
        <w:t>Capital markets income is comprised of revenues arising from derivative contracts not designated as hedging instruments, loan syndication fees and foreign exchange spot revenue. Income from derivative contracts not designated as hedging instruments is recognized in accordance with the Company's policy stated below. Loan syndication fees are earned and recognized at the point in time the syndication is completed. Foreign exchange spot revenue is recognized in earnings on the trade date.</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Activities</w:t>
      </w:r>
    </w:p>
    <w:p>
      <w:pPr>
        <w:spacing w:after="0" w:line="139" w:lineRule="exact"/>
        <w:rPr>
          <w:sz w:val="20"/>
          <w:szCs w:val="20"/>
          <w:color w:val="auto"/>
        </w:rPr>
      </w:pPr>
    </w:p>
    <w:p>
      <w:pPr>
        <w:ind w:right="20" w:firstLine="315"/>
        <w:spacing w:after="0" w:line="247" w:lineRule="auto"/>
        <w:rPr>
          <w:sz w:val="20"/>
          <w:szCs w:val="20"/>
          <w:color w:val="auto"/>
        </w:rPr>
      </w:pPr>
      <w:r>
        <w:rPr>
          <w:rFonts w:ascii="Times New Roman" w:cs="Times New Roman" w:eastAsia="Times New Roman" w:hAnsi="Times New Roman"/>
          <w:sz w:val="18"/>
          <w:szCs w:val="18"/>
          <w:color w:val="auto"/>
        </w:rPr>
        <w:t>The Company uses derivative contracts in the ordinary course of business to manage its exposure to risk, primarily the risk of fluctuations in interest rates. The Company also enters into derivative contracts with customers to enable those customers to manage their exposure to fluctuations in interest rates and foreign currency exchange rates. Derivative contracts are recorded as assets or liabilities in the consolidated balance sheets at fair value. Interest rate derivatives that are used as a risk management tool to hedge the Company's exposure to changes in interest rates have been designated as cash flow or fair value hedging instruments. The gain or loss resulting from changes in the fair value of interest rate derivatives designated and qualifying as cash flow hedging instruments is initially reported as a component of other comprehensive income and subsequently reclassified into earnings in the same period in which the hedged transaction affects earnings. Changes in the fair value of interest rate derivatives designated as fair value hedging instruments as well as the offsetting changes in the fair value of the hedged items caused by fluctuations in the designated benchmark interest rates are recognized in earnings.</w:t>
      </w:r>
    </w:p>
    <w:p>
      <w:pPr>
        <w:spacing w:after="0" w:line="123" w:lineRule="exact"/>
        <w:rPr>
          <w:sz w:val="20"/>
          <w:szCs w:val="20"/>
          <w:color w:val="auto"/>
        </w:rPr>
      </w:pPr>
    </w:p>
    <w:p>
      <w:pPr>
        <w:ind w:right="60" w:firstLine="315"/>
        <w:spacing w:after="0" w:line="249" w:lineRule="auto"/>
        <w:rPr>
          <w:sz w:val="20"/>
          <w:szCs w:val="20"/>
          <w:color w:val="auto"/>
        </w:rPr>
      </w:pPr>
      <w:r>
        <w:rPr>
          <w:rFonts w:ascii="Times New Roman" w:cs="Times New Roman" w:eastAsia="Times New Roman" w:hAnsi="Times New Roman"/>
          <w:sz w:val="18"/>
          <w:szCs w:val="18"/>
          <w:color w:val="auto"/>
        </w:rPr>
        <w:t>The Company discontinues hedge accounting prospectively when it is determined that the derivative is no longer effective in offsetting changes in the cash flows or fair value of the hedged item, the derivative expires or is sold, terminated, or exercised, management determines that the designation of the derivative as a hedging instrument is no longer appropriate or, for a cash flow hedge, the occurrence of the forecasted transaction is no longer probable. When hedge accounting on a cash flow hedge is discontinued, any subsequent changes in fair value of the derivative are recognized in earnings. The cumulative unrealized gain or loss related to a discontinued cash flow hedge continues to be reported in AOCI and is subsequently</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91" w:name="page92"/>
    <w:bookmarkEnd w:id="91"/>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reclassified into earnings in the same period in which the hedged transaction affects earnings, unless it is probable that the forecasted transaction will not occur by the end of the originally specified time period, in which case the cumulative unrealized gain or loss reported in AOCI is reclassified into earnings immediately. When hedge accounting on a fair value hedge is discontinued, adjustments to the carrying amount of the hedged item due to changes in fair value are also discontinued.</w:t>
      </w:r>
    </w:p>
    <w:p>
      <w:pPr>
        <w:spacing w:after="0" w:line="116" w:lineRule="exact"/>
        <w:rPr>
          <w:sz w:val="20"/>
          <w:szCs w:val="20"/>
          <w:color w:val="auto"/>
        </w:rPr>
      </w:pPr>
    </w:p>
    <w:p>
      <w:pPr>
        <w:ind w:right="400" w:firstLine="315"/>
        <w:spacing w:after="0" w:line="268" w:lineRule="auto"/>
        <w:rPr>
          <w:sz w:val="20"/>
          <w:szCs w:val="20"/>
          <w:color w:val="auto"/>
        </w:rPr>
      </w:pPr>
      <w:r>
        <w:rPr>
          <w:rFonts w:ascii="Times New Roman" w:cs="Times New Roman" w:eastAsia="Times New Roman" w:hAnsi="Times New Roman"/>
          <w:sz w:val="18"/>
          <w:szCs w:val="18"/>
          <w:color w:val="auto"/>
        </w:rPr>
        <w:t>Cash flows from derivative financial instruments that are accounted for as hedges, including daily settlements of centrally cleared derivatives with the CME, are classified as operating cash flows.</w:t>
      </w:r>
    </w:p>
    <w:p>
      <w:pPr>
        <w:spacing w:after="0" w:line="103" w:lineRule="exact"/>
        <w:rPr>
          <w:sz w:val="20"/>
          <w:szCs w:val="20"/>
          <w:color w:val="auto"/>
        </w:rPr>
      </w:pPr>
    </w:p>
    <w:p>
      <w:pPr>
        <w:ind w:right="580" w:firstLine="315"/>
        <w:spacing w:after="0" w:line="268" w:lineRule="auto"/>
        <w:rPr>
          <w:sz w:val="20"/>
          <w:szCs w:val="20"/>
          <w:color w:val="auto"/>
        </w:rPr>
      </w:pPr>
      <w:r>
        <w:rPr>
          <w:rFonts w:ascii="Times New Roman" w:cs="Times New Roman" w:eastAsia="Times New Roman" w:hAnsi="Times New Roman"/>
          <w:sz w:val="18"/>
          <w:szCs w:val="18"/>
          <w:color w:val="auto"/>
        </w:rPr>
        <w:t>Changes in the fair value of derivative financial instruments not designated as, or not qualifying as, hedging instruments are recognized currently in earnings.</w:t>
      </w:r>
    </w:p>
    <w:p>
      <w:pPr>
        <w:spacing w:after="0" w:line="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50" w:lineRule="exact"/>
        <w:rPr>
          <w:sz w:val="20"/>
          <w:szCs w:val="20"/>
          <w:color w:val="auto"/>
        </w:rPr>
      </w:pPr>
    </w:p>
    <w:p>
      <w:pPr>
        <w:ind w:right="20" w:firstLine="315"/>
        <w:spacing w:after="0" w:line="250" w:lineRule="auto"/>
        <w:rPr>
          <w:sz w:val="20"/>
          <w:szCs w:val="20"/>
          <w:color w:val="auto"/>
        </w:rPr>
      </w:pPr>
      <w:r>
        <w:rPr>
          <w:rFonts w:ascii="Times New Roman" w:cs="Times New Roman" w:eastAsia="Times New Roman" w:hAnsi="Times New Roman"/>
          <w:sz w:val="18"/>
          <w:szCs w:val="18"/>
          <w:color w:val="auto"/>
        </w:rPr>
        <w:t>Revenue from contracts with customers within the scope of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is recognized in an amount that reflects the consideration the Company expects to be entitled to receive in exchange for those goods or services as the related performance obligations are satisfied. The majority of our revenues, including revenues from loans, leases, investment securities, derivative instruments and letters of credit and from transfers and servicing of financial assets, are excluded from the scope of Topic 606. Deposit service charges and fees and loan syndication fees, included in "capital markets income" on the consolidated statements of income, are the most significant categories of revenue within the scope of the standard.</w:t>
      </w:r>
    </w:p>
    <w:p>
      <w:pPr>
        <w:spacing w:after="0" w:line="120" w:lineRule="exact"/>
        <w:rPr>
          <w:sz w:val="20"/>
          <w:szCs w:val="20"/>
          <w:color w:val="auto"/>
        </w:rPr>
      </w:pPr>
    </w:p>
    <w:p>
      <w:pPr>
        <w:ind w:left="640" w:right="280" w:hanging="319"/>
        <w:spacing w:after="0" w:line="256" w:lineRule="auto"/>
        <w:tabs>
          <w:tab w:leader="none" w:pos="6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service charges and fees consist primarily of monthly maintenance fees and other transaction based fees. Revenue is recognized when our performance obligations are complete, generally monthly for account maintenance fees or when a transaction, such as a wire transfer, is completed. Payment is typically received at the time the performance obligation is satisfied.</w:t>
      </w:r>
    </w:p>
    <w:p>
      <w:pPr>
        <w:spacing w:after="0" w:line="99" w:lineRule="exact"/>
        <w:rPr>
          <w:rFonts w:ascii="Times New Roman" w:cs="Times New Roman" w:eastAsia="Times New Roman" w:hAnsi="Times New Roman"/>
          <w:sz w:val="18"/>
          <w:szCs w:val="18"/>
          <w:color w:val="auto"/>
        </w:rPr>
      </w:pPr>
    </w:p>
    <w:p>
      <w:pPr>
        <w:ind w:left="640" w:right="80" w:hanging="319"/>
        <w:spacing w:after="0" w:line="248" w:lineRule="auto"/>
        <w:tabs>
          <w:tab w:leader="none" w:pos="6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syndication fees are earned from arranging, structuring, and syndicating loans for our commercial borrowers. Revenue from such syndications is recognized at the point in time when the syndication is completed. Payment is typically received at the time the performance obligation is satisfied Loans syndications fees was not material for the years ended December 31, 2025, 2024 and 2023, respectively.</w:t>
      </w:r>
    </w:p>
    <w:p>
      <w:pPr>
        <w:spacing w:after="0" w:line="108" w:lineRule="exact"/>
        <w:rPr>
          <w:sz w:val="20"/>
          <w:szCs w:val="20"/>
          <w:color w:val="auto"/>
        </w:rPr>
      </w:pPr>
    </w:p>
    <w:p>
      <w:pPr>
        <w:ind w:firstLine="315"/>
        <w:spacing w:after="0" w:line="268" w:lineRule="auto"/>
        <w:rPr>
          <w:sz w:val="20"/>
          <w:szCs w:val="20"/>
          <w:color w:val="auto"/>
        </w:rPr>
      </w:pPr>
      <w:r>
        <w:rPr>
          <w:rFonts w:ascii="Times New Roman" w:cs="Times New Roman" w:eastAsia="Times New Roman" w:hAnsi="Times New Roman"/>
          <w:sz w:val="18"/>
          <w:szCs w:val="18"/>
          <w:color w:val="auto"/>
        </w:rPr>
        <w:t>The aggregate amount of revenue that is within the scope of Topic 606 from sources other than deposit service charges and fees and loan syndication fees is not significant.</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139" w:lineRule="exact"/>
        <w:rPr>
          <w:sz w:val="20"/>
          <w:szCs w:val="20"/>
          <w:color w:val="auto"/>
        </w:rPr>
      </w:pPr>
    </w:p>
    <w:p>
      <w:pPr>
        <w:ind w:right="100" w:firstLine="315"/>
        <w:spacing w:after="0" w:line="288" w:lineRule="auto"/>
        <w:rPr>
          <w:sz w:val="20"/>
          <w:szCs w:val="20"/>
          <w:color w:val="auto"/>
        </w:rPr>
      </w:pPr>
      <w:r>
        <w:rPr>
          <w:rFonts w:ascii="Times New Roman" w:cs="Times New Roman" w:eastAsia="Times New Roman" w:hAnsi="Times New Roman"/>
          <w:sz w:val="16"/>
          <w:szCs w:val="16"/>
          <w:color w:val="auto"/>
        </w:rPr>
        <w:t>Transfers of financial assets are accounted for as sales when control over the assets has been surrendered. A gain or loss is recognized in earnings upon completion of the sale based on the difference between the sales proceeds and the carrying value of the assets. Control over the transferred assets is deemed to have been surrendered when: (i) the assets have been legally isolated from the Company,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139" w:lineRule="exact"/>
        <w:rPr>
          <w:sz w:val="20"/>
          <w:szCs w:val="20"/>
          <w:color w:val="auto"/>
        </w:rPr>
      </w:pPr>
    </w:p>
    <w:p>
      <w:pPr>
        <w:ind w:firstLine="315"/>
        <w:spacing w:after="0" w:line="282" w:lineRule="auto"/>
        <w:rPr>
          <w:sz w:val="20"/>
          <w:szCs w:val="20"/>
          <w:color w:val="auto"/>
        </w:rPr>
      </w:pPr>
      <w:r>
        <w:rPr>
          <w:rFonts w:ascii="Times New Roman" w:cs="Times New Roman" w:eastAsia="Times New Roman" w:hAnsi="Times New Roman"/>
          <w:sz w:val="16"/>
          <w:szCs w:val="16"/>
          <w:color w:val="auto"/>
        </w:rPr>
        <w:t>Basic earnings per common share is calculated by dividing income allocated to common stockholders for basic earnings per common share by the weighted average number of common shares outstanding for the period, reduced by average unvested stock awards. Unvested stock awards with non-forfeitable rights to dividends, whether paid or unpaid, are considered participating securities and are included in the computation of basic earnings per common share using the two class method whereby net income is allocated between common stock and participating securities. In periods of a net loss, no allocation is made to participating securities as they are not contractually required to fund net losses. Diluted earnings per common share is computed by dividing income allocated to common stockholders for basic earnings per common share, adjusted for earnings reallocated from participating securities, by the weighted average number of common shares outstanding for the period increased for the dilutive effect of unvested stock awards using the treasury stock method. Contingently issuable shares are included in the calculation of earnings per common share beginning on the date the contingency was resolved.</w:t>
      </w:r>
    </w:p>
    <w:p>
      <w:pPr>
        <w:spacing w:after="0" w:line="200" w:lineRule="exact"/>
        <w:rPr>
          <w:sz w:val="20"/>
          <w:szCs w:val="20"/>
          <w:color w:val="auto"/>
        </w:rPr>
      </w:pPr>
    </w:p>
    <w:p>
      <w:pPr>
        <w:spacing w:after="0" w:line="3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92" w:name="page93"/>
    <w:bookmarkEnd w:id="92"/>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52" w:lineRule="exact"/>
        <w:rPr>
          <w:sz w:val="20"/>
          <w:szCs w:val="20"/>
          <w:color w:val="auto"/>
        </w:rPr>
      </w:pPr>
    </w:p>
    <w:p>
      <w:pPr>
        <w:ind w:right="240" w:firstLine="315"/>
        <w:spacing w:after="0" w:line="256" w:lineRule="auto"/>
        <w:rPr>
          <w:sz w:val="20"/>
          <w:szCs w:val="20"/>
          <w:color w:val="auto"/>
        </w:rPr>
      </w:pPr>
      <w:r>
        <w:rPr>
          <w:rFonts w:ascii="Times New Roman" w:cs="Times New Roman" w:eastAsia="Times New Roman" w:hAnsi="Times New Roman"/>
          <w:sz w:val="18"/>
          <w:szCs w:val="18"/>
          <w:color w:val="auto"/>
        </w:rPr>
        <w:t>The Company has a single operating segment and thus a single reportable segment. The Company’s CEO is the CODM. While the CODM monitors the revenue streams and deposit and loan balances of its lines of business, the business lines serve a similar base of primarily commercial clients and provide a comparable range of products and services, all managed through similar processes and platforms.</w:t>
      </w:r>
    </w:p>
    <w:p>
      <w:pPr>
        <w:spacing w:after="0" w:line="100" w:lineRule="exact"/>
        <w:rPr>
          <w:sz w:val="20"/>
          <w:szCs w:val="20"/>
          <w:color w:val="auto"/>
        </w:rPr>
      </w:pPr>
    </w:p>
    <w:p>
      <w:pPr>
        <w:ind w:right="20" w:firstLine="315"/>
        <w:spacing w:after="0" w:line="256" w:lineRule="auto"/>
        <w:rPr>
          <w:sz w:val="20"/>
          <w:szCs w:val="20"/>
          <w:color w:val="auto"/>
        </w:rPr>
      </w:pPr>
      <w:r>
        <w:rPr>
          <w:rFonts w:ascii="Times New Roman" w:cs="Times New Roman" w:eastAsia="Times New Roman" w:hAnsi="Times New Roman"/>
          <w:sz w:val="18"/>
          <w:szCs w:val="18"/>
          <w:color w:val="auto"/>
        </w:rPr>
        <w:t>The CODM regularly assesses the performance of its single operating and reporting segment and decides how to allocate resources based on net income as reported in the Company’s consolidated statements of income. The CODM reviews expense information at the same level of detail as that disclosed in the Company's consolidated financial statement.</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amounts presented for prior periods have been reclassified to conform to the current period presented.</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Adopted in 2025</w:t>
      </w:r>
    </w:p>
    <w:p>
      <w:pPr>
        <w:spacing w:after="0" w:line="150" w:lineRule="exact"/>
        <w:rPr>
          <w:sz w:val="20"/>
          <w:szCs w:val="20"/>
          <w:color w:val="auto"/>
        </w:rPr>
      </w:pPr>
    </w:p>
    <w:p>
      <w:pPr>
        <w:ind w:right="120" w:firstLine="315"/>
        <w:spacing w:after="0" w:line="250" w:lineRule="auto"/>
        <w:rPr>
          <w:sz w:val="20"/>
          <w:szCs w:val="20"/>
          <w:color w:val="auto"/>
        </w:rPr>
      </w:pPr>
      <w:r>
        <w:rPr>
          <w:rFonts w:ascii="Times New Roman" w:cs="Times New Roman" w:eastAsia="Times New Roman" w:hAnsi="Times New Roman"/>
          <w:sz w:val="18"/>
          <w:szCs w:val="18"/>
          <w:color w:val="auto"/>
        </w:rPr>
        <w:t>ASU No. 2023-09—</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requires entities to provide additional disclosures, primarily related to the income tax rate reconciliation and income taxes paid. The guidance also eliminates certain existing disclosure requirements related to uncertain tax positions among others. The Company adopted this ASU for the year ended December 31, 2025 on a retrospective basis. The adoption of this ASU did not have an impact on the Company's consolidated financial position, results of operations or cash flows. Adoption resulted in additional disclosures included in Note 9.</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37" w:lineRule="exact"/>
        <w:rPr>
          <w:sz w:val="20"/>
          <w:szCs w:val="20"/>
          <w:color w:val="auto"/>
        </w:rPr>
      </w:pPr>
    </w:p>
    <w:p>
      <w:pPr>
        <w:ind w:right="200" w:firstLine="315"/>
        <w:spacing w:after="0" w:line="289" w:lineRule="auto"/>
        <w:rPr>
          <w:sz w:val="20"/>
          <w:szCs w:val="20"/>
          <w:color w:val="auto"/>
        </w:rPr>
      </w:pPr>
      <w:r>
        <w:rPr>
          <w:rFonts w:ascii="Times New Roman" w:cs="Times New Roman" w:eastAsia="Times New Roman" w:hAnsi="Times New Roman"/>
          <w:sz w:val="16"/>
          <w:szCs w:val="16"/>
          <w:color w:val="auto"/>
        </w:rPr>
        <w:t>ASU No. 2024-03—</w:t>
      </w:r>
      <w:r>
        <w:rPr>
          <w:rFonts w:ascii="Times New Roman" w:cs="Times New Roman" w:eastAsia="Times New Roman" w:hAnsi="Times New Roman"/>
          <w:sz w:val="16"/>
          <w:szCs w:val="16"/>
          <w:i w:val="1"/>
          <w:iCs w:val="1"/>
          <w:color w:val="auto"/>
        </w:rPr>
        <w:t>Income Statement - Reporting Comprehensive Income - Expense Disaggregation Disclosures (Subtopic 220-40): Disaggregation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Income Statement Expenses</w:t>
      </w:r>
      <w:r>
        <w:rPr>
          <w:rFonts w:ascii="Times New Roman" w:cs="Times New Roman" w:eastAsia="Times New Roman" w:hAnsi="Times New Roman"/>
          <w:sz w:val="16"/>
          <w:szCs w:val="16"/>
          <w:color w:val="auto"/>
        </w:rPr>
        <w:t>. This ASU requires additional disclosure in interim and annual periods about specific expense categories in the notes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statements. This ASU is effective for the Company for fiscal years beginning after December 15, 2026, and interim periods within fiscal years beginning after December 15, 2027. The adoption of this ASU is not expected to have an impact on the Company's consolidated financial position, results of operations or cash flows but may lead to additional disclosures about expenses in the Notes to the Consolidated Financial Statements.</w:t>
      </w:r>
    </w:p>
    <w:p>
      <w:pPr>
        <w:spacing w:after="0" w:line="88" w:lineRule="exact"/>
        <w:rPr>
          <w:sz w:val="20"/>
          <w:szCs w:val="20"/>
          <w:color w:val="auto"/>
        </w:rPr>
      </w:pPr>
    </w:p>
    <w:p>
      <w:pPr>
        <w:ind w:right="20" w:firstLine="315"/>
        <w:spacing w:after="0" w:line="250" w:lineRule="auto"/>
        <w:rPr>
          <w:sz w:val="20"/>
          <w:szCs w:val="20"/>
          <w:color w:val="auto"/>
        </w:rPr>
      </w:pPr>
      <w:r>
        <w:rPr>
          <w:rFonts w:ascii="Times New Roman" w:cs="Times New Roman" w:eastAsia="Times New Roman" w:hAnsi="Times New Roman"/>
          <w:sz w:val="18"/>
          <w:szCs w:val="18"/>
          <w:color w:val="auto"/>
        </w:rPr>
        <w:t>ASU No. 2025-06—</w:t>
      </w:r>
      <w:r>
        <w:rPr>
          <w:rFonts w:ascii="Times New Roman" w:cs="Times New Roman" w:eastAsia="Times New Roman" w:hAnsi="Times New Roman"/>
          <w:sz w:val="18"/>
          <w:szCs w:val="18"/>
          <w:i w:val="1"/>
          <w:iCs w:val="1"/>
          <w:color w:val="auto"/>
        </w:rPr>
        <w:t>Intangibles—Goodwill and Other—Internal-Use Software (Subtopic 350-40): Targeted Improvements to the Accounting for Internal-Use Software</w:t>
      </w:r>
      <w:r>
        <w:rPr>
          <w:rFonts w:ascii="Times New Roman" w:cs="Times New Roman" w:eastAsia="Times New Roman" w:hAnsi="Times New Roman"/>
          <w:sz w:val="18"/>
          <w:szCs w:val="18"/>
          <w:color w:val="auto"/>
        </w:rPr>
        <w:t>. The ASU eliminates the prior stage-based model for capitalization of internal-use software costs and replaces it with a principles-based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requires capitalization once management has approved and committed funding for a project and it is probable the project will be completed and the software will function as intended. The ASU is effective for the Company for interim and annual periods beginning after December 15, 2027, with early adoption permitted. The Company is currently evaluating the impact of this ASU on its Consolidated Financial Statements.</w:t>
      </w:r>
    </w:p>
    <w:p>
      <w:pPr>
        <w:spacing w:after="0" w:line="82" w:lineRule="exact"/>
        <w:rPr>
          <w:sz w:val="20"/>
          <w:szCs w:val="20"/>
          <w:color w:val="auto"/>
        </w:rPr>
      </w:pPr>
    </w:p>
    <w:p>
      <w:pPr>
        <w:ind w:firstLine="315"/>
        <w:spacing w:after="0" w:line="220" w:lineRule="exact"/>
        <w:rPr>
          <w:sz w:val="20"/>
          <w:szCs w:val="20"/>
          <w:color w:val="auto"/>
        </w:rPr>
      </w:pPr>
      <w:r>
        <w:rPr>
          <w:rFonts w:ascii="Times New Roman" w:cs="Times New Roman" w:eastAsia="Times New Roman" w:hAnsi="Times New Roman"/>
          <w:sz w:val="16"/>
          <w:szCs w:val="16"/>
          <w:color w:val="auto"/>
        </w:rPr>
        <w:t>ASU 2025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08 – </w:t>
      </w:r>
      <w:r>
        <w:rPr>
          <w:rFonts w:ascii="Times New Roman" w:cs="Times New Roman" w:eastAsia="Times New Roman" w:hAnsi="Times New Roman"/>
          <w:sz w:val="16"/>
          <w:szCs w:val="16"/>
          <w:i w:val="1"/>
          <w:iCs w:val="1"/>
          <w:color w:val="auto"/>
        </w:rPr>
        <w:t>Financial Instruments—Credit Losses (Topic 326): Purchased Loans</w:t>
      </w:r>
      <w:r>
        <w:rPr>
          <w:rFonts w:ascii="Times New Roman" w:cs="Times New Roman" w:eastAsia="Times New Roman" w:hAnsi="Times New Roman"/>
          <w:sz w:val="16"/>
          <w:szCs w:val="16"/>
          <w:color w:val="auto"/>
        </w:rPr>
        <w:t>. The ASU amends the accounting for certain acquired loans by expanding the CECL gross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 approach—previously applicable only to PCD loans—to a newly defined class of purchased seasoned loans ("PSL"). PSLs generally include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PCD loans acquired in a business combination or those meeting defined seasoning criteria. Under the amended guidance, the Company will recognize the initial allowance for credit losses on PSLs as an adjustment to the loan's amortized cost basis rather than recording a Day 1 provision expense. The ASU is effective for the Company for fiscal years beginning after December 15, 2026, including interim periods within those fiscal years, and will be applied prospectively; early adoption is permitted. The Company is currently evaluating the impact of this guidance on its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sectPr>
      </w:pPr>
    </w:p>
    <w:bookmarkStart w:id="93" w:name="page94"/>
    <w:bookmarkEnd w:id="93"/>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Earnings Per Common Share</w:t>
      </w:r>
    </w:p>
    <w:p>
      <w:pPr>
        <w:spacing w:after="0" w:line="163" w:lineRule="exact"/>
        <w:rPr>
          <w:sz w:val="20"/>
          <w:szCs w:val="20"/>
          <w:color w:val="auto"/>
        </w:rPr>
      </w:pPr>
    </w:p>
    <w:p>
      <w:pPr>
        <w:ind w:right="320" w:firstLine="315"/>
        <w:spacing w:after="0" w:line="268" w:lineRule="auto"/>
        <w:rPr>
          <w:sz w:val="20"/>
          <w:szCs w:val="20"/>
          <w:color w:val="auto"/>
        </w:rPr>
      </w:pPr>
      <w:r>
        <w:rPr>
          <w:rFonts w:ascii="Times New Roman" w:cs="Times New Roman" w:eastAsia="Times New Roman" w:hAnsi="Times New Roman"/>
          <w:sz w:val="18"/>
          <w:szCs w:val="18"/>
          <w:color w:val="auto"/>
        </w:rPr>
        <w:t>The computation of basic and diluted earnings per common share is presented below for the periods indicated (in thousands, except share and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6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5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268,353</w:t>
            </w:r>
          </w:p>
        </w:tc>
        <w:tc>
          <w:tcPr>
            <w:tcW w:w="4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178,671</w:t>
            </w:r>
          </w:p>
        </w:tc>
      </w:tr>
      <w:tr>
        <w:trPr>
          <w:trHeight w:val="22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Distributed and undistributed earnings allocated to participating securities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17"/>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allocated to common stockholders for basic earnings per common share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262,656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175,106</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75,039,662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74,694,303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74,493,898</w:t>
            </w:r>
          </w:p>
        </w:tc>
      </w:tr>
      <w:tr>
        <w:trPr>
          <w:trHeight w:val="22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average unvested stock awards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(1,115,829)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(1,098,045)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(1,168,004)</w:t>
            </w:r>
          </w:p>
        </w:tc>
      </w:tr>
      <w:tr>
        <w:trPr>
          <w:trHeight w:val="217"/>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for basic earnings per common share</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73,923,833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73,596,258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73,325,894</w:t>
            </w:r>
          </w:p>
        </w:tc>
      </w:tr>
      <w:tr>
        <w:trPr>
          <w:trHeight w:val="21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0"/>
        </w:trPr>
        <w:tc>
          <w:tcPr>
            <w:tcW w:w="6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allocated to common stockholders for basic earnings per common share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262,656</w:t>
            </w:r>
          </w:p>
        </w:tc>
        <w:tc>
          <w:tcPr>
            <w:tcW w:w="4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175,106</w:t>
            </w:r>
          </w:p>
        </w:tc>
      </w:tr>
      <w:tr>
        <w:trPr>
          <w:trHeight w:val="22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for earnings reallocated from participating securities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7"/>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used in calculating diluted earnings per common share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174,831</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for basic earnings per common share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73,923,833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73,596,258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73,325,894</w:t>
            </w:r>
          </w:p>
        </w:tc>
      </w:tr>
      <w:tr>
        <w:trPr>
          <w:trHeight w:val="22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certain share-based awards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197,441</w:t>
            </w:r>
          </w:p>
        </w:tc>
      </w:tr>
      <w:tr>
        <w:trPr>
          <w:trHeight w:val="217"/>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for diluted earnings per common share</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74,304,473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73,978,301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73,523,335</w:t>
            </w:r>
          </w:p>
        </w:tc>
      </w:tr>
      <w:tr>
        <w:trPr>
          <w:trHeight w:val="21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right="40" w:firstLine="315"/>
        <w:spacing w:after="0" w:line="268" w:lineRule="auto"/>
        <w:rPr>
          <w:sz w:val="20"/>
          <w:szCs w:val="20"/>
          <w:color w:val="auto"/>
        </w:rPr>
      </w:pPr>
      <w:r>
        <w:rPr>
          <w:rFonts w:ascii="Times New Roman" w:cs="Times New Roman" w:eastAsia="Times New Roman" w:hAnsi="Times New Roman"/>
          <w:sz w:val="18"/>
          <w:szCs w:val="18"/>
          <w:color w:val="auto"/>
        </w:rPr>
        <w:t>Potentially dilutive unvested shares totaling 1,724,392, 1,690,743, and 1,738,534 were outstanding at December 31, 2025, 2024 and 2023, respectively, but excluded from the calculation of diluted earnings per common share because their inclusion would have been anti-dilutive.</w:t>
      </w: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94" w:name="page95"/>
    <w:bookmarkEnd w:id="94"/>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6"/>
          <w:szCs w:val="16"/>
          <w:b w:val="1"/>
          <w:bCs w:val="1"/>
          <w:color w:val="auto"/>
        </w:rPr>
        <w:t>Investment Securities</w:t>
      </w:r>
    </w:p>
    <w:p>
      <w:pPr>
        <w:spacing w:after="0" w:line="163" w:lineRule="exact"/>
        <w:rPr>
          <w:sz w:val="20"/>
          <w:szCs w:val="20"/>
          <w:color w:val="auto"/>
        </w:rPr>
      </w:pPr>
    </w:p>
    <w:p>
      <w:pPr>
        <w:ind w:right="140" w:firstLine="315"/>
        <w:spacing w:after="0" w:line="268" w:lineRule="auto"/>
        <w:rPr>
          <w:sz w:val="20"/>
          <w:szCs w:val="20"/>
          <w:color w:val="auto"/>
        </w:rPr>
      </w:pPr>
      <w:r>
        <w:rPr>
          <w:rFonts w:ascii="Times New Roman" w:cs="Times New Roman" w:eastAsia="Times New Roman" w:hAnsi="Times New Roman"/>
          <w:sz w:val="18"/>
          <w:szCs w:val="18"/>
          <w:color w:val="auto"/>
        </w:rPr>
        <w:t>Investment securities include investment securities available for sale and marketable equity securities. The investment securities portfolio consisted of the following at the dates indicated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00" w:type="dxa"/>
            <w:vAlign w:val="bottom"/>
          </w:tcPr>
          <w:p>
            <w:pPr>
              <w:spacing w:after="0"/>
              <w:rPr>
                <w:sz w:val="16"/>
                <w:szCs w:val="16"/>
                <w:color w:val="auto"/>
              </w:rPr>
            </w:pPr>
          </w:p>
        </w:tc>
        <w:tc>
          <w:tcPr>
            <w:tcW w:w="9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275,966</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268,653</w:t>
            </w:r>
          </w:p>
        </w:tc>
        <w:tc>
          <w:tcPr>
            <w:tcW w:w="0" w:type="dxa"/>
            <w:vAlign w:val="bottom"/>
          </w:tcPr>
          <w:p>
            <w:pPr>
              <w:spacing w:after="0"/>
              <w:rPr>
                <w:sz w:val="1"/>
                <w:szCs w:val="1"/>
                <w:color w:val="auto"/>
              </w:rPr>
            </w:pPr>
          </w:p>
        </w:tc>
      </w:tr>
      <w:tr>
        <w:trPr>
          <w:trHeight w:val="179"/>
        </w:trPr>
        <w:tc>
          <w:tcPr>
            <w:tcW w:w="4820" w:type="dxa"/>
            <w:vAlign w:val="bottom"/>
            <w:shd w:val="clear" w:color="auto" w:fill="CCEEFF"/>
          </w:tcPr>
          <w:p>
            <w:pPr>
              <w:ind w:left="140"/>
              <w:spacing w:after="0" w:line="179" w:lineRule="exact"/>
              <w:rPr>
                <w:sz w:val="20"/>
                <w:szCs w:val="20"/>
                <w:color w:val="auto"/>
              </w:rPr>
            </w:pPr>
            <w:r>
              <w:rPr>
                <w:rFonts w:ascii="Times New Roman" w:cs="Times New Roman" w:eastAsia="Times New Roman" w:hAnsi="Times New Roman"/>
                <w:sz w:val="18"/>
                <w:szCs w:val="18"/>
                <w:color w:val="auto"/>
              </w:rPr>
              <w:t>U.S. Government agency and sponsored enterprise residential</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MBS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2,562,702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2,563,027</w:t>
            </w:r>
          </w:p>
        </w:tc>
        <w:tc>
          <w:tcPr>
            <w:tcW w:w="0" w:type="dxa"/>
            <w:vAlign w:val="bottom"/>
          </w:tcPr>
          <w:p>
            <w:pPr>
              <w:spacing w:after="0"/>
              <w:rPr>
                <w:sz w:val="1"/>
                <w:szCs w:val="1"/>
                <w:color w:val="auto"/>
              </w:rPr>
            </w:pPr>
          </w:p>
        </w:tc>
      </w:tr>
      <w:tr>
        <w:trPr>
          <w:trHeight w:val="179"/>
        </w:trPr>
        <w:tc>
          <w:tcPr>
            <w:tcW w:w="482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U.S. Government agency and sponsored enterprise commercial</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MBS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534,363</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 residential MBS and CMOs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2,490,828</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label commercial MBS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2,182,983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2,168,110</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Single family real estate-backed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225,892</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780,944</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Non-mortgage asset-backed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58,765</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municipal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109,520</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SBA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57,815</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0" w:type="dxa"/>
            <w:vAlign w:val="bottom"/>
            <w:tcBorders>
              <w:bottom w:val="single" w:sz="8" w:color="auto"/>
            </w:tcBorders>
          </w:tcPr>
          <w:p>
            <w:pPr>
              <w:jc w:val="right"/>
              <w:ind w:right="1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9,525,046</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26,722</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1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(293,851)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9,257,917</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9,263,651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gridSpan w:val="5"/>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00" w:type="dxa"/>
            <w:vAlign w:val="bottom"/>
          </w:tcPr>
          <w:p>
            <w:pPr>
              <w:spacing w:after="0"/>
              <w:rPr>
                <w:sz w:val="16"/>
                <w:szCs w:val="16"/>
                <w:color w:val="auto"/>
              </w:rPr>
            </w:pPr>
          </w:p>
        </w:tc>
        <w:tc>
          <w:tcPr>
            <w:tcW w:w="9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214,796</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202,952</w:t>
            </w: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U.S. Government agency and sponsored enterprise residential</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MBS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2,672,554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2,649,690</w:t>
            </w:r>
          </w:p>
        </w:tc>
        <w:tc>
          <w:tcPr>
            <w:tcW w:w="0" w:type="dxa"/>
            <w:vAlign w:val="bottom"/>
          </w:tcPr>
          <w:p>
            <w:pPr>
              <w:spacing w:after="0"/>
              <w:rPr>
                <w:sz w:val="1"/>
                <w:szCs w:val="1"/>
                <w:color w:val="auto"/>
              </w:rPr>
            </w:pPr>
          </w:p>
        </w:tc>
      </w:tr>
      <w:tr>
        <w:trPr>
          <w:trHeight w:val="171"/>
        </w:trPr>
        <w:tc>
          <w:tcPr>
            <w:tcW w:w="482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U.S. Government agency and sponsored enterprise commercial</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MBS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495,753</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 residential MBS and CMOs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2,491,033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2,238,046</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label commercial MBS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1,822,881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1,784,029</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Single family real estate-backed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327,081</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1,132,699</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Non-mortgage asset-backed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94,454</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municipal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104,010</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SBA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72,702</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00" w:type="dxa"/>
            <w:vAlign w:val="bottom"/>
            <w:tcBorders>
              <w:bottom w:val="single" w:sz="8" w:color="auto"/>
            </w:tcBorders>
          </w:tcPr>
          <w:p>
            <w:pPr>
              <w:jc w:val="right"/>
              <w:ind w:right="1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9,507,041</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8,376</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1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(414,001)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9,101,416</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9,130,244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40" w:firstLine="315"/>
        <w:spacing w:after="0" w:line="268" w:lineRule="auto"/>
        <w:rPr>
          <w:sz w:val="20"/>
          <w:szCs w:val="20"/>
          <w:color w:val="auto"/>
        </w:rPr>
      </w:pPr>
      <w:r>
        <w:rPr>
          <w:rFonts w:ascii="Times New Roman" w:cs="Times New Roman" w:eastAsia="Times New Roman" w:hAnsi="Times New Roman"/>
          <w:sz w:val="18"/>
          <w:szCs w:val="18"/>
          <w:color w:val="auto"/>
        </w:rPr>
        <w:t>Accrued interest receivable on investments totaled $30 million and $36 million at December 31, 2025 and 2024, respectively, and is included in other assets in the accompanying consolidated balance sheets.</w:t>
      </w: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95" w:name="page96"/>
    <w:bookmarkEnd w:id="95"/>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00" w:firstLine="315"/>
        <w:spacing w:after="0" w:line="268" w:lineRule="auto"/>
        <w:rPr>
          <w:sz w:val="20"/>
          <w:szCs w:val="20"/>
          <w:color w:val="auto"/>
        </w:rPr>
      </w:pPr>
      <w:r>
        <w:rPr>
          <w:rFonts w:ascii="Times New Roman" w:cs="Times New Roman" w:eastAsia="Times New Roman" w:hAnsi="Times New Roman"/>
          <w:sz w:val="18"/>
          <w:szCs w:val="18"/>
          <w:color w:val="auto"/>
        </w:rPr>
        <w:t>At December 31, 2025, contractual maturities of investment securities available for sale, adjusted for anticipated prepayments when applicable,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843,544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5,456,406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5,378,706</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2,131,665</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984,235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904,002</w:t>
            </w:r>
          </w:p>
        </w:tc>
      </w:tr>
      <w:tr>
        <w:trPr>
          <w:trHeight w:val="242"/>
        </w:trPr>
        <w:tc>
          <w:tcPr>
            <w:tcW w:w="8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9,525,046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9,257,917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480" w:firstLine="315"/>
        <w:spacing w:after="0" w:line="268" w:lineRule="auto"/>
        <w:rPr>
          <w:sz w:val="20"/>
          <w:szCs w:val="20"/>
          <w:color w:val="auto"/>
        </w:rPr>
      </w:pPr>
      <w:r>
        <w:rPr>
          <w:rFonts w:ascii="Times New Roman" w:cs="Times New Roman" w:eastAsia="Times New Roman" w:hAnsi="Times New Roman"/>
          <w:sz w:val="18"/>
          <w:szCs w:val="18"/>
          <w:color w:val="auto"/>
        </w:rPr>
        <w:t>The carrying value of securities pledged as collateral for FHLB advances, public deposits, interest rate swaps and to secure borrowing capacity at the FHLB and FRB totaled $8.0 billion and $7.9 billion at December 31, 2025 and 2024, respectively.</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gains (losses) on investment securities for the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 on investment securities AFS</w:t>
            </w:r>
          </w:p>
        </w:tc>
        <w:tc>
          <w:tcPr>
            <w:tcW w:w="94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realized losses on investment securities AFS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7"/>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realized gain</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43"/>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marketable equity securities recognized in earnings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w:t>
            </w:r>
          </w:p>
        </w:tc>
      </w:tr>
      <w:tr>
        <w:trPr>
          <w:trHeight w:val="263"/>
        </w:trPr>
        <w:tc>
          <w:tcPr>
            <w:tcW w:w="6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42"/>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investment securities, net</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80" w:firstLine="315"/>
        <w:spacing w:after="0" w:line="256" w:lineRule="auto"/>
        <w:rPr>
          <w:sz w:val="20"/>
          <w:szCs w:val="20"/>
          <w:color w:val="auto"/>
        </w:rPr>
      </w:pPr>
      <w:r>
        <w:rPr>
          <w:rFonts w:ascii="Times New Roman" w:cs="Times New Roman" w:eastAsia="Times New Roman" w:hAnsi="Times New Roman"/>
          <w:sz w:val="18"/>
          <w:szCs w:val="18"/>
          <w:color w:val="auto"/>
        </w:rPr>
        <w:t>The following tables present the aggregate fair value and the aggregate amount by which amortized cost exceeded fair value for investment securities available for sale in unrealized loss positions aggregated by investment category and length of time that individual securities had been in continuous unrealized loss positions at the dates indicated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12 Months or Greater</w:t>
            </w:r>
          </w:p>
        </w:tc>
        <w:tc>
          <w:tcPr>
            <w:tcW w:w="220" w:type="dxa"/>
            <w:vAlign w:val="bottom"/>
          </w:tcPr>
          <w:p>
            <w:pPr>
              <w:spacing w:after="0"/>
              <w:rPr>
                <w:sz w:val="16"/>
                <w:szCs w:val="16"/>
                <w:color w:val="auto"/>
              </w:rPr>
            </w:pPr>
          </w:p>
        </w:tc>
        <w:tc>
          <w:tcPr>
            <w:tcW w:w="144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spacing w:after="0"/>
              <w:rPr>
                <w:sz w:val="16"/>
                <w:szCs w:val="16"/>
                <w:color w:val="auto"/>
              </w:rPr>
            </w:pPr>
          </w:p>
        </w:tc>
      </w:tr>
      <w:tr>
        <w:trPr>
          <w:trHeight w:val="190"/>
        </w:trPr>
        <w:tc>
          <w:tcPr>
            <w:tcW w:w="3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w:t>
            </w:r>
          </w:p>
        </w:tc>
      </w:tr>
      <w:tr>
        <w:trPr>
          <w:trHeight w:val="171"/>
        </w:trPr>
        <w:tc>
          <w:tcPr>
            <w:tcW w:w="33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U.S. Government agency and sponsored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residential MBS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(15,678)</w:t>
            </w:r>
          </w:p>
        </w:tc>
      </w:tr>
      <w:tr>
        <w:trPr>
          <w:trHeight w:val="171"/>
        </w:trPr>
        <w:tc>
          <w:tcPr>
            <w:tcW w:w="33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U.S. Government agency and sponsored</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7"/>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enterprise commercial MBS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384,952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(42,907)</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 residential MBS and CMOs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(195,558)</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 commercial MBS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(19,891)</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Single family real estate-backed securities</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Non-mortgage asset-backed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municipal obligations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securities</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42"/>
        </w:trPr>
        <w:tc>
          <w:tcPr>
            <w:tcW w:w="33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3,770,668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(293,851)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39"/>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7"/>
        </w:trPr>
        <w:tc>
          <w:tcPr>
            <w:tcW w:w="334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62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9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9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96" w:name="page97"/>
    <w:bookmarkEnd w:id="96"/>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20" w:type="dxa"/>
            <w:vAlign w:val="bottom"/>
          </w:tcPr>
          <w:p>
            <w:pPr>
              <w:spacing w:after="0"/>
              <w:rPr>
                <w:sz w:val="16"/>
                <w:szCs w:val="16"/>
                <w:color w:val="auto"/>
              </w:rPr>
            </w:pPr>
          </w:p>
        </w:tc>
        <w:tc>
          <w:tcPr>
            <w:tcW w:w="144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spacing w:after="0"/>
              <w:rPr>
                <w:sz w:val="16"/>
                <w:szCs w:val="16"/>
                <w:color w:val="auto"/>
              </w:rPr>
            </w:pPr>
          </w:p>
        </w:tc>
      </w:tr>
      <w:tr>
        <w:trPr>
          <w:trHeight w:val="190"/>
        </w:trPr>
        <w:tc>
          <w:tcPr>
            <w:tcW w:w="3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126,710</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w:t>
            </w:r>
          </w:p>
        </w:tc>
      </w:tr>
      <w:tr>
        <w:trPr>
          <w:trHeight w:val="179"/>
        </w:trPr>
        <w:tc>
          <w:tcPr>
            <w:tcW w:w="33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U.S. Government agency and sponsored</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8"/>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residential MBS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895,759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1,831,865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(26,471)</w:t>
            </w:r>
          </w:p>
        </w:tc>
      </w:tr>
      <w:tr>
        <w:trPr>
          <w:trHeight w:val="179"/>
        </w:trPr>
        <w:tc>
          <w:tcPr>
            <w:tcW w:w="33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U.S. Government agency and sponsored</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enterprise commercial MBS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(61,892)</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 residential MBS and CMOs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2,188,035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(253,493)</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 commercial MBS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(40,688)</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Single family real estate-backed securities</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Non-mortgage asset-backed securities</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municipal obligations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securities</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42"/>
        </w:trPr>
        <w:tc>
          <w:tcPr>
            <w:tcW w:w="33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1,622,289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(11,807)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6,737,594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firstLine="315"/>
        <w:spacing w:after="0" w:line="248" w:lineRule="auto"/>
        <w:rPr>
          <w:sz w:val="20"/>
          <w:szCs w:val="20"/>
          <w:color w:val="auto"/>
        </w:rPr>
      </w:pPr>
      <w:r>
        <w:rPr>
          <w:rFonts w:ascii="Times New Roman" w:cs="Times New Roman" w:eastAsia="Times New Roman" w:hAnsi="Times New Roman"/>
          <w:sz w:val="18"/>
          <w:szCs w:val="18"/>
          <w:color w:val="auto"/>
        </w:rPr>
        <w:t>The Company monitors its investment securities available for sale for credit loss impairment on an individual security basis. No securities were determined to be credit loss impaired during the years ended December 31, 2025, 2024 and 2023. At December 31, 2025, the Company did not have an intent to sell securities that were in significant unrealized loss positions, and it was not more likely than not that the Company would be required to sell these securities before recovery of the amortized cost basis, which may be at maturity. In making this determination, the Company considered its current and projected liquidity position including its ability to pledge securities to generate liquidity, its investment policy as to permissible holdings and concentration limits, regulatory requirements and other relevant factors.</w:t>
      </w:r>
    </w:p>
    <w:p>
      <w:pPr>
        <w:spacing w:after="0" w:line="110" w:lineRule="exact"/>
        <w:rPr>
          <w:sz w:val="20"/>
          <w:szCs w:val="20"/>
          <w:color w:val="auto"/>
        </w:rPr>
      </w:pPr>
    </w:p>
    <w:p>
      <w:pPr>
        <w:ind w:right="40" w:firstLine="315"/>
        <w:spacing w:after="0" w:line="252" w:lineRule="auto"/>
        <w:rPr>
          <w:sz w:val="20"/>
          <w:szCs w:val="20"/>
          <w:color w:val="auto"/>
        </w:rPr>
      </w:pPr>
      <w:r>
        <w:rPr>
          <w:rFonts w:ascii="Times New Roman" w:cs="Times New Roman" w:eastAsia="Times New Roman" w:hAnsi="Times New Roman"/>
          <w:sz w:val="18"/>
          <w:szCs w:val="18"/>
          <w:color w:val="auto"/>
        </w:rPr>
        <w:t>At December 31, 2025, 352 securities available for sale were in unrealized loss positions. The amount of unrealized losses related to 107 of these securities was considered insignificant both individually and in the aggregate, totaling approximately $0.9 million and no further analysis with respect to these securities was considered necessary. The basis for concluding that AFS securities were not credit loss impaired and no ACL was considered necessary at December 31, 2025, is further discussed below.</w:t>
      </w:r>
    </w:p>
    <w:p>
      <w:pPr>
        <w:spacing w:after="0" w:line="116" w:lineRule="exact"/>
        <w:rPr>
          <w:sz w:val="20"/>
          <w:szCs w:val="20"/>
          <w:color w:val="auto"/>
        </w:rPr>
      </w:pPr>
    </w:p>
    <w:p>
      <w:pPr>
        <w:ind w:right="120" w:firstLine="315"/>
        <w:spacing w:after="0" w:line="249" w:lineRule="auto"/>
        <w:rPr>
          <w:sz w:val="20"/>
          <w:szCs w:val="20"/>
          <w:color w:val="auto"/>
        </w:rPr>
      </w:pPr>
      <w:r>
        <w:rPr>
          <w:rFonts w:ascii="Times New Roman" w:cs="Times New Roman" w:eastAsia="Times New Roman" w:hAnsi="Times New Roman"/>
          <w:sz w:val="18"/>
          <w:szCs w:val="18"/>
          <w:color w:val="auto"/>
        </w:rPr>
        <w:t>Unrealized losses were primarily attributable to a sustained higher interest rate environment and in some cases, wider spreads compared to levels at which securities were purchased. The investment securities AFS portfolio was in a net unrealized loss position of $267.1 million at December 31, 2025, compared to $405.6 million at December 31, 2024, improving by $138.5 million during the year ended December 31, 2025, largely due to a declining interest rate environment. While the majority of securities in the portfolio were floating rate at December 31, 2025, fixed rate securities accounted for the majority of unrealized losses.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U.S. Government, U.S. Government Agency and Government Sponsored Enterprise Securities</w:t>
      </w:r>
    </w:p>
    <w:p>
      <w:pPr>
        <w:spacing w:after="0" w:line="137" w:lineRule="exact"/>
        <w:rPr>
          <w:sz w:val="20"/>
          <w:szCs w:val="20"/>
          <w:color w:val="auto"/>
        </w:rPr>
      </w:pPr>
    </w:p>
    <w:p>
      <w:pPr>
        <w:ind w:right="40" w:firstLine="315"/>
        <w:spacing w:after="0" w:line="252" w:lineRule="auto"/>
        <w:rPr>
          <w:sz w:val="20"/>
          <w:szCs w:val="20"/>
          <w:color w:val="auto"/>
        </w:rPr>
      </w:pPr>
      <w:r>
        <w:rPr>
          <w:rFonts w:ascii="Times New Roman" w:cs="Times New Roman" w:eastAsia="Times New Roman" w:hAnsi="Times New Roman"/>
          <w:sz w:val="18"/>
          <w:szCs w:val="18"/>
          <w:color w:val="auto"/>
        </w:rPr>
        <w:t>At December 31, 2025, 11 U.S. treasury, 51 U.S. Government agency and sponsored enterprise residential MBS, 20 U.S. Government agency and sponsored enterprise commercial MBS and 16 SBA securities were in unrealized loss positions. The timely payment of principal and interest on these securities is explicitly or implicitly guaranteed by the U.S. Government. As such, there is an assumption of zero credit loss and the Company expects to recover the amortized cost basis of these securities.</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97" w:name="page98"/>
    <w:bookmarkEnd w:id="97"/>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Private Label Securities</w:t>
      </w:r>
    </w:p>
    <w:p>
      <w:pPr>
        <w:spacing w:after="0" w:line="150" w:lineRule="exact"/>
        <w:rPr>
          <w:sz w:val="20"/>
          <w:szCs w:val="20"/>
          <w:color w:val="auto"/>
        </w:rPr>
      </w:pPr>
    </w:p>
    <w:p>
      <w:pPr>
        <w:ind w:firstLine="315"/>
        <w:spacing w:after="0" w:line="288" w:lineRule="auto"/>
        <w:rPr>
          <w:sz w:val="20"/>
          <w:szCs w:val="20"/>
          <w:color w:val="auto"/>
        </w:rPr>
      </w:pPr>
      <w:r>
        <w:rPr>
          <w:rFonts w:ascii="Times New Roman" w:cs="Times New Roman" w:eastAsia="Times New Roman" w:hAnsi="Times New Roman"/>
          <w:sz w:val="16"/>
          <w:szCs w:val="16"/>
          <w:color w:val="auto"/>
        </w:rPr>
        <w:t>None of the impaired private label securities had missed principal or interest payments or had been downgraded by a NRSRO at December 31, 2025. The Company performed an analysis comparing the present value of cash flows expected to be collected to the amortized cost basis of impaired securities. This analysis was based on a scenario that we believe to be generally more conservative than our reasonable and supportable economic forecast at December 31, 2025, and incorporated assumptions about voluntary prepayment rates, collateral defaults, delinquencies, severity and other relevant factors as described further below. Our analysis also considered the structural characteristics of each security and the level of credit enhancement provided by that structure.</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Private label residential MBS and CMOs</w:t>
      </w:r>
    </w:p>
    <w:p>
      <w:pPr>
        <w:spacing w:after="0" w:line="150" w:lineRule="exact"/>
        <w:rPr>
          <w:sz w:val="20"/>
          <w:szCs w:val="20"/>
          <w:color w:val="auto"/>
        </w:rPr>
      </w:pPr>
    </w:p>
    <w:p>
      <w:pPr>
        <w:ind w:right="40" w:firstLine="315"/>
        <w:spacing w:after="0" w:line="247" w:lineRule="auto"/>
        <w:rPr>
          <w:sz w:val="20"/>
          <w:szCs w:val="20"/>
          <w:color w:val="auto"/>
        </w:rPr>
      </w:pPr>
      <w:r>
        <w:rPr>
          <w:rFonts w:ascii="Times New Roman" w:cs="Times New Roman" w:eastAsia="Times New Roman" w:hAnsi="Times New Roman"/>
          <w:sz w:val="18"/>
          <w:szCs w:val="18"/>
          <w:color w:val="auto"/>
        </w:rPr>
        <w:t>At December 31, 2025, 109 private label residential MBS and CMOs were in unrealized loss positions. Our analysis of cash flows expected to be collected on these securities incorporated assumptions about collateral default rates, voluntary prepayment rates, loss severity, delinquencies and recovery lag. In developing those assumptions, we took into account collateral quality measures such as FICO, LTV, documentation, loan type, property type, agency availability criteria and performing status. We also regularly monitor sector data including home price appreciation, forbearance, delinquency, special servicing and prepay trends as well as other economic data that could be indicative of stress in the sector. Underlying delinquencies in this sector remain low. Our December 31, 2025 analysis projected weighted average collateral losses for impaired securities in this category of 2.3% compared to weighted average credit support of 18.4%. As of December 31, 2025, 96% of impaired securities in this category, based on carrying value, were externally rated AAA and 4% were rated AA.</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Private label commercial MBS</w:t>
      </w:r>
    </w:p>
    <w:p>
      <w:pPr>
        <w:spacing w:after="0" w:line="137" w:lineRule="exact"/>
        <w:rPr>
          <w:sz w:val="20"/>
          <w:szCs w:val="20"/>
          <w:color w:val="auto"/>
        </w:rPr>
      </w:pPr>
    </w:p>
    <w:p>
      <w:pPr>
        <w:ind w:firstLine="315"/>
        <w:spacing w:after="0" w:line="246" w:lineRule="auto"/>
        <w:rPr>
          <w:sz w:val="20"/>
          <w:szCs w:val="20"/>
          <w:color w:val="auto"/>
        </w:rPr>
      </w:pPr>
      <w:r>
        <w:rPr>
          <w:rFonts w:ascii="Times New Roman" w:cs="Times New Roman" w:eastAsia="Times New Roman" w:hAnsi="Times New Roman"/>
          <w:sz w:val="18"/>
          <w:szCs w:val="18"/>
          <w:color w:val="auto"/>
        </w:rPr>
        <w:t>At December 31, 2025, 20 private label commercial MBS were in unrealized loss positions. Our analysis of cash flows expected to be collected on these securities incorporated assumptions about collateral default rates, voluntary prepayment rates, loss severity, delinquencies and recovery lag. In developing those assumptions, we took into account collateral quality and type, loan size, loan purpose and other qualitative factors. We also regularly monitor collateral concentrations, collateral watch lists, bankruptcy data, defeasance data, special servicing trends, delinquency and other economic data that could be indicative of stress in the sector. We consider collateral, deal, sector and tranche level performance as well as maturity and refinance risk. While we have observed some deterioration in collateral performance in this segment, particularly in the office sector, the high credit quality of these securities and adequacy of subordination to cover projected collateral losses supports the conclusion that there is no credit loss impairment. Our December 31, 2025 analysis projected weighted average collateral losses for impaired securities in this category of 6.8% compared to weighted average credit support of 46.2%. As of December 31, 2025, 91% of impaired securities in this category, based on carrying value, were externally rated AAA, 7% were rated AA and 2% were rated A. There was no single-asset, single-borrower exposure.</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Single family real estate-backed securities</w:t>
      </w:r>
    </w:p>
    <w:p>
      <w:pPr>
        <w:spacing w:after="0" w:line="150" w:lineRule="exact"/>
        <w:rPr>
          <w:sz w:val="20"/>
          <w:szCs w:val="20"/>
          <w:color w:val="auto"/>
        </w:rPr>
      </w:pPr>
    </w:p>
    <w:p>
      <w:pPr>
        <w:ind w:firstLine="315"/>
        <w:spacing w:after="0" w:line="248" w:lineRule="auto"/>
        <w:rPr>
          <w:sz w:val="20"/>
          <w:szCs w:val="20"/>
          <w:color w:val="auto"/>
        </w:rPr>
      </w:pPr>
      <w:r>
        <w:rPr>
          <w:rFonts w:ascii="Times New Roman" w:cs="Times New Roman" w:eastAsia="Times New Roman" w:hAnsi="Times New Roman"/>
          <w:sz w:val="18"/>
          <w:szCs w:val="18"/>
          <w:color w:val="auto"/>
        </w:rPr>
        <w:t>At December 31, 2025, five single family real estate-backed securities were in unrealized loss positions. Our analysis of cash flows expected to be collected on these securities incorporated assumptions about collateral default rates, loss severity, delinquencies and recovery lag. We regularly monitor sector data including home price appreciation, forbearance, delinquency and prepay trends as well as other economic data that could be indicative of stress in the sector. We consider collateral, deal, sector and tranche level performance as well as maturity and refinance risk. Our December 31, 2025 analysis projected weighted average collateral losses for this category of 6.6% compared to weighted average credit support of 60.1%. As of December 31, 2025, 55% of impaired securities in this category, based on carrying value, were externally rated AAA and 45% were rated AA.</w:t>
      </w: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1" w:right="359" w:bottom="1440" w:gutter="0" w:footer="0" w:header="0"/>
        </w:sectPr>
      </w:pPr>
    </w:p>
    <w:bookmarkStart w:id="98" w:name="page99"/>
    <w:bookmarkEnd w:id="98"/>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Collateralized loan obligations</w:t>
      </w:r>
    </w:p>
    <w:p>
      <w:pPr>
        <w:spacing w:after="0" w:line="137" w:lineRule="exact"/>
        <w:rPr>
          <w:sz w:val="20"/>
          <w:szCs w:val="20"/>
          <w:color w:val="auto"/>
        </w:rPr>
      </w:pPr>
    </w:p>
    <w:p>
      <w:pPr>
        <w:ind w:right="40" w:firstLine="315"/>
        <w:spacing w:after="0" w:line="246" w:lineRule="auto"/>
        <w:rPr>
          <w:sz w:val="20"/>
          <w:szCs w:val="20"/>
          <w:color w:val="auto"/>
        </w:rPr>
      </w:pPr>
      <w:r>
        <w:rPr>
          <w:rFonts w:ascii="Times New Roman" w:cs="Times New Roman" w:eastAsia="Times New Roman" w:hAnsi="Times New Roman"/>
          <w:sz w:val="18"/>
          <w:szCs w:val="18"/>
          <w:color w:val="auto"/>
        </w:rPr>
        <w:t>At December 31, 2025, five collateralized loan obligations were in unrealized loss positions. Unrealized losses totaled less than 1% of total amortized cost of this segment at December 31, 2025. Our analysis of cash flows expected to be collected on these securities incorporated assumptions about collateral default rates, loss severity, and delinquencies, calibrated to take into account idiosyncratic risks associated with the underlying collateral. In developing those assumptions, we took into account each sector’s performance pre-, during and post the 2008 financial crisis. We regularly engage with bond managers to monitor trends in underlying collateral including potential downgrades and subsequent cash flow diversions, liquidity, ratings migration, and any other relevant developments. The high credit quality of these securities and adequacy of subordination to cover projected collateral losses supports the conclusion that there is no credit loss impairment. Our December 31, 2025 analysis projected weighted average collateral losses for impaired securities in this category of 16.7% compared to weighted average credit support of 34.3%. As of December 31, 2025, 25% of the impaired securities in this category, based on carrying value, were externally rated AAA, and 75% were rated AA.</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Non-mortgage asset-backed securities</w:t>
      </w:r>
    </w:p>
    <w:p>
      <w:pPr>
        <w:spacing w:after="0" w:line="150" w:lineRule="exact"/>
        <w:rPr>
          <w:sz w:val="20"/>
          <w:szCs w:val="20"/>
          <w:color w:val="auto"/>
        </w:rPr>
      </w:pPr>
    </w:p>
    <w:p>
      <w:pPr>
        <w:ind w:firstLine="315"/>
        <w:spacing w:after="0" w:line="248" w:lineRule="auto"/>
        <w:rPr>
          <w:sz w:val="20"/>
          <w:szCs w:val="20"/>
          <w:color w:val="auto"/>
        </w:rPr>
      </w:pPr>
      <w:r>
        <w:rPr>
          <w:rFonts w:ascii="Times New Roman" w:cs="Times New Roman" w:eastAsia="Times New Roman" w:hAnsi="Times New Roman"/>
          <w:sz w:val="18"/>
          <w:szCs w:val="18"/>
          <w:color w:val="auto"/>
        </w:rPr>
        <w:t>At December 31, 2025, three non-mortgage asset-backed securities were in unrealized loss positions. These securities are backed by student loan collateral. Our analysis of cash flows expected to be collected on these securities incorporated assumptions about collateral default rates, loss severity, delinquencies, voluntary prepayment rates and recovery lag. In developing assumptions, we took into account collateral type, delineated by whether collateral consisted of loans to borrowers in school, refinancing, or a mixture. Our December 31, 2025 analysis projected weighted average collateral losses for impaired securities in this category of 3.5% compared to weighted average credit support of 33.1%. As of December 31, 2025, 22% of the impaired securities in this category, based on carrying value, were externally rated AAA, and 78% were rated AA.</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State and Municipal Obligations</w:t>
      </w:r>
    </w:p>
    <w:p>
      <w:pPr>
        <w:spacing w:after="0" w:line="137" w:lineRule="exact"/>
        <w:rPr>
          <w:sz w:val="20"/>
          <w:szCs w:val="20"/>
          <w:color w:val="auto"/>
        </w:rPr>
      </w:pPr>
    </w:p>
    <w:p>
      <w:pPr>
        <w:ind w:right="20" w:firstLine="315"/>
        <w:spacing w:after="0" w:line="252" w:lineRule="auto"/>
        <w:rPr>
          <w:sz w:val="20"/>
          <w:szCs w:val="20"/>
          <w:color w:val="auto"/>
        </w:rPr>
      </w:pPr>
      <w:r>
        <w:rPr>
          <w:rFonts w:ascii="Times New Roman" w:cs="Times New Roman" w:eastAsia="Times New Roman" w:hAnsi="Times New Roman"/>
          <w:sz w:val="18"/>
          <w:szCs w:val="18"/>
          <w:color w:val="auto"/>
        </w:rPr>
        <w:t>At December 31, 2025, five state and municipal obligations were in unrealized loss positions. Our analysis of potential credit loss impairment for these securities incorporates a comprehensive analysis and quantitative score of the underlying obligor's credit worthiness provided by a third-party vendor as well as other relevant qualitative considerations. As of December 31, 2025, 8% of the impaired securities in this category, based on carrying value, were externally rated AAA, and 92% were rated AA.</w:t>
      </w:r>
    </w:p>
    <w:p>
      <w:pPr>
        <w:spacing w:after="0" w:line="200" w:lineRule="exact"/>
        <w:rPr>
          <w:sz w:val="20"/>
          <w:szCs w:val="20"/>
          <w:color w:val="auto"/>
        </w:rPr>
      </w:pPr>
    </w:p>
    <w:p>
      <w:pPr>
        <w:spacing w:after="0" w:line="3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99" w:name="page100"/>
    <w:bookmarkEnd w:id="99"/>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6"/>
          <w:szCs w:val="16"/>
          <w:b w:val="1"/>
          <w:bCs w:val="1"/>
          <w:color w:val="auto"/>
        </w:rPr>
        <w:t>Loans and Allowance for Credit Losses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Loans consisted of the following at the dates indicated (dollars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2540" w:type="dxa"/>
            <w:vAlign w:val="bottom"/>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7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Percent of Total</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59"/>
              <w:spacing w:after="0" w:line="127" w:lineRule="exact"/>
              <w:rPr>
                <w:sz w:val="20"/>
                <w:szCs w:val="20"/>
                <w:color w:val="auto"/>
              </w:rPr>
            </w:pPr>
            <w:r>
              <w:rPr>
                <w:rFonts w:ascii="Times New Roman" w:cs="Times New Roman" w:eastAsia="Times New Roman" w:hAnsi="Times New Roman"/>
                <w:sz w:val="14"/>
                <w:szCs w:val="14"/>
                <w:b w:val="1"/>
                <w:bCs w:val="1"/>
                <w:color w:val="auto"/>
              </w:rPr>
              <w:t>Percent of Total</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 commercial real 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6,105,207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5,652,203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and land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705,664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561,989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 commercial real estate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2,020,572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1,941,004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7,008,903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7,042,222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Pinnacle - municipal finance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619,374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and equipment finance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213,477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warehouse lending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7"/>
        </w:trPr>
        <w:tc>
          <w:tcPr>
            <w:tcW w:w="5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17,290,707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16,717,166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single family residential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6,091,959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6,508,922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insured residential</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1,071,892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7"/>
        </w:trPr>
        <w:tc>
          <w:tcPr>
            <w:tcW w:w="5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6,983,000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7,580,814</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17"/>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24,273,707</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24,297,980</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(219,825)</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(223,153)</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24,053,882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24,074,827</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0" w:firstLine="315"/>
        <w:spacing w:after="0" w:line="331" w:lineRule="auto"/>
        <w:rPr>
          <w:sz w:val="20"/>
          <w:szCs w:val="20"/>
          <w:color w:val="auto"/>
        </w:rPr>
      </w:pPr>
      <w:r>
        <w:rPr>
          <w:rFonts w:ascii="Times New Roman" w:cs="Times New Roman" w:eastAsia="Times New Roman" w:hAnsi="Times New Roman"/>
          <w:sz w:val="16"/>
          <w:szCs w:val="16"/>
          <w:color w:val="auto"/>
        </w:rPr>
        <w:t>Premiums, discounts and deferred fees and costs, excluding the non-credit related discount on PCD loans, totaled $22 million and $33 million at December 31, 2025 and 2024, respectively. The amortized cost of PCD loans totaled $32 million and $38 million at December 31, 2025 and 2024, respectively.</w:t>
      </w:r>
    </w:p>
    <w:p>
      <w:pPr>
        <w:spacing w:after="0" w:line="45" w:lineRule="exact"/>
        <w:rPr>
          <w:sz w:val="20"/>
          <w:szCs w:val="20"/>
          <w:color w:val="auto"/>
        </w:rPr>
      </w:pPr>
    </w:p>
    <w:p>
      <w:pPr>
        <w:ind w:right="20" w:firstLine="315"/>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purchased residential loans totaling $326 million, $366 million and $493 million, respectively.</w:t>
      </w:r>
    </w:p>
    <w:p>
      <w:pPr>
        <w:spacing w:after="0" w:line="103" w:lineRule="exact"/>
        <w:rPr>
          <w:sz w:val="20"/>
          <w:szCs w:val="20"/>
          <w:color w:val="auto"/>
        </w:rPr>
      </w:pPr>
    </w:p>
    <w:p>
      <w:pPr>
        <w:ind w:right="200" w:firstLine="315"/>
        <w:spacing w:after="0" w:line="268" w:lineRule="auto"/>
        <w:rPr>
          <w:sz w:val="20"/>
          <w:szCs w:val="20"/>
          <w:color w:val="auto"/>
        </w:rPr>
      </w:pPr>
      <w:r>
        <w:rPr>
          <w:rFonts w:ascii="Times New Roman" w:cs="Times New Roman" w:eastAsia="Times New Roman" w:hAnsi="Times New Roman"/>
          <w:sz w:val="18"/>
          <w:szCs w:val="18"/>
          <w:color w:val="auto"/>
        </w:rPr>
        <w:t>At December 31, 2025 and 2024, the Company had pledged loans with a carrying value of approximately $15.6 billion and $15.8 billion, respectively, as security for FHLB advances and FHLB and Federal Reserve discount window capacity.</w:t>
      </w:r>
    </w:p>
    <w:p>
      <w:pPr>
        <w:spacing w:after="0" w:line="116"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color w:val="auto"/>
        </w:rPr>
        <w:t>Accrued interest receivable on loans totaled $113 million and $120 million at December 31, 2025 and 2024, respectively, and is included in other assets in the accompanying consolidated balance sheets. The amount of interest income reversed on non-accrual loans was not material for the years ended December 31, 2025, 2024 and 2023.</w:t>
      </w: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0" w:name="page101"/>
    <w:bookmarkEnd w:id="100"/>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Activity in the ACL is summarized below for the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1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0"/>
        </w:trPr>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
        </w:trPr>
        <w:tc>
          <w:tcPr>
            <w:tcW w:w="1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0"/>
        </w:trPr>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Commercial</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Residential</w:t>
            </w:r>
          </w:p>
        </w:tc>
        <w:tc>
          <w:tcPr>
            <w:tcW w:w="24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Residential</w:t>
            </w:r>
          </w:p>
        </w:tc>
        <w:tc>
          <w:tcPr>
            <w:tcW w:w="24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Pr>
          <w:p>
            <w:pPr>
              <w:spacing w:after="0"/>
              <w:rPr>
                <w:sz w:val="15"/>
                <w:szCs w:val="15"/>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51"/>
        </w:trPr>
        <w:tc>
          <w:tcPr>
            <w:tcW w:w="126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rPr>
              <w:t>Beginning</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3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147,946</w:t>
            </w:r>
          </w:p>
        </w:tc>
      </w:tr>
      <w:tr>
        <w:trPr>
          <w:trHeight w:val="171"/>
        </w:trPr>
        <w:tc>
          <w:tcPr>
            <w:tcW w:w="126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Impact of</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9"/>
        </w:trPr>
        <w:tc>
          <w:tcPr>
            <w:tcW w:w="126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adoption of</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8"/>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ASU 2022-02</w:t>
            </w: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24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9"/>
                <w:szCs w:val="19"/>
                <w:color w:val="auto"/>
              </w:rPr>
            </w:pP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(1,794)</w:t>
            </w:r>
          </w:p>
        </w:tc>
      </w:tr>
      <w:tr>
        <w:trPr>
          <w:trHeight w:val="151"/>
        </w:trPr>
        <w:tc>
          <w:tcPr>
            <w:tcW w:w="1260" w:type="dxa"/>
            <w:vAlign w:val="bottom"/>
            <w:tcBorders>
              <w:top w:val="single" w:sz="8" w:color="CCEEFF"/>
            </w:tcBorders>
            <w:shd w:val="clear" w:color="auto" w:fill="CCEEFF"/>
          </w:tcPr>
          <w:p>
            <w:pPr>
              <w:ind w:left="40"/>
              <w:spacing w:after="0" w:line="152" w:lineRule="exact"/>
              <w:rPr>
                <w:sz w:val="20"/>
                <w:szCs w:val="20"/>
                <w:color w:val="auto"/>
              </w:rPr>
            </w:pPr>
            <w:r>
              <w:rPr>
                <w:rFonts w:ascii="Times New Roman" w:cs="Times New Roman" w:eastAsia="Times New Roman" w:hAnsi="Times New Roman"/>
                <w:sz w:val="16"/>
                <w:szCs w:val="16"/>
                <w:color w:val="auto"/>
              </w:rPr>
              <w:t>Balance after</w:t>
            </w: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79"/>
        </w:trPr>
        <w:tc>
          <w:tcPr>
            <w:tcW w:w="1260" w:type="dxa"/>
            <w:vAlign w:val="bottom"/>
            <w:shd w:val="clear" w:color="auto" w:fill="CCEEFF"/>
          </w:tcPr>
          <w:p>
            <w:pPr>
              <w:ind w:left="40"/>
              <w:spacing w:after="0" w:line="179" w:lineRule="exact"/>
              <w:rPr>
                <w:sz w:val="20"/>
                <w:szCs w:val="20"/>
                <w:color w:val="auto"/>
              </w:rPr>
            </w:pPr>
            <w:r>
              <w:rPr>
                <w:rFonts w:ascii="Times New Roman" w:cs="Times New Roman" w:eastAsia="Times New Roman" w:hAnsi="Times New Roman"/>
                <w:sz w:val="18"/>
                <w:szCs w:val="18"/>
                <w:color w:val="auto"/>
                <w:w w:val="97"/>
              </w:rPr>
              <w:t>adoption of ASU</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2022-02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146,152</w:t>
            </w:r>
          </w:p>
        </w:tc>
      </w:tr>
      <w:tr>
        <w:trPr>
          <w:trHeight w:val="171"/>
        </w:trPr>
        <w:tc>
          <w:tcPr>
            <w:tcW w:w="126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6"/>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(recovery)</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78,924</w:t>
            </w:r>
          </w:p>
        </w:tc>
      </w:tr>
      <w:tr>
        <w:trPr>
          <w:trHeight w:val="224"/>
        </w:trPr>
        <w:tc>
          <w:tcPr>
            <w:tcW w:w="1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(35,014)</w:t>
            </w:r>
          </w:p>
        </w:tc>
      </w:tr>
      <w:tr>
        <w:trPr>
          <w:trHeight w:val="223"/>
        </w:trPr>
        <w:tc>
          <w:tcPr>
            <w:tcW w:w="1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w:t>
            </w:r>
          </w:p>
        </w:tc>
      </w:tr>
      <w:tr>
        <w:trPr>
          <w:trHeight w:val="24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202,689</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right="100" w:firstLine="315"/>
        <w:spacing w:after="0" w:line="268" w:lineRule="auto"/>
        <w:rPr>
          <w:sz w:val="20"/>
          <w:szCs w:val="20"/>
          <w:color w:val="auto"/>
        </w:rPr>
      </w:pPr>
      <w:r>
        <w:rPr>
          <w:rFonts w:ascii="Times New Roman" w:cs="Times New Roman" w:eastAsia="Times New Roman" w:hAnsi="Times New Roman"/>
          <w:sz w:val="18"/>
          <w:szCs w:val="18"/>
          <w:color w:val="auto"/>
        </w:rPr>
        <w:t>The ACL was determined utilizing a 2-year reasonable and supportable forecast period. The quantitative portion of the ACL was determined by weighting three third-party provided economic scenarios.</w:t>
      </w:r>
    </w:p>
    <w:p>
      <w:pPr>
        <w:spacing w:after="0" w:line="103" w:lineRule="exact"/>
        <w:rPr>
          <w:sz w:val="20"/>
          <w:szCs w:val="20"/>
          <w:color w:val="auto"/>
        </w:rPr>
      </w:pPr>
    </w:p>
    <w:p>
      <w:pPr>
        <w:jc w:val="both"/>
        <w:ind w:right="100" w:firstLine="315"/>
        <w:spacing w:after="0" w:line="252" w:lineRule="auto"/>
        <w:rPr>
          <w:sz w:val="20"/>
          <w:szCs w:val="20"/>
          <w:color w:val="auto"/>
        </w:rPr>
      </w:pPr>
      <w:r>
        <w:rPr>
          <w:rFonts w:ascii="Times New Roman" w:cs="Times New Roman" w:eastAsia="Times New Roman" w:hAnsi="Times New Roman"/>
          <w:sz w:val="18"/>
          <w:szCs w:val="18"/>
          <w:color w:val="auto"/>
        </w:rPr>
        <w:t>The ACL was 0.91% of total loans at December 31, 2025 compared to 0.92% at December 31, 2024. The two most significant factors impacting the ACL for the year ended December 31, 2025 were increases in specific reserves, partially offset by net charge-offs. The ACL was also impacted, although to a lesser extent, by an increase in certain qualitative factors and decreases related to (i) improvement in the economic forecast, (ii) changes in portfolio composition and borrower financial performance and (iii) routine modeling and assumption updates.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gross charge-offs during the year ended December 31, 2025, by year of origination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9"/>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Gross Charge-offs By Loan Origination Year</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0"/>
                <w:szCs w:val="10"/>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Prior to 2021</w:t>
            </w: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0"/>
                <w:szCs w:val="10"/>
                <w:color w:val="auto"/>
              </w:rPr>
            </w:pPr>
          </w:p>
        </w:tc>
        <w:tc>
          <w:tcPr>
            <w:tcW w:w="7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0" w:type="dxa"/>
            <w:vAlign w:val="bottom"/>
          </w:tcPr>
          <w:p>
            <w:pPr>
              <w:spacing w:after="0"/>
              <w:rPr>
                <w:sz w:val="1"/>
                <w:szCs w:val="1"/>
                <w:color w:val="auto"/>
              </w:rPr>
            </w:pP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62,270</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single family residential</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7"/>
        </w:trPr>
        <w:tc>
          <w:tcPr>
            <w:tcW w:w="27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components of the provision for (recovery of) credit losses for the periods indicated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4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related to funded portion of loans</w:t>
            </w:r>
          </w:p>
        </w:tc>
        <w:tc>
          <w:tcPr>
            <w:tcW w:w="1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58,986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 related to off-balance sheet credit exposures</w:t>
            </w:r>
          </w:p>
        </w:tc>
        <w:tc>
          <w:tcPr>
            <w:tcW w:w="14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8"/>
              </w:rPr>
              <w:t>(3,914)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provision for credit losses</w:t>
            </w:r>
          </w:p>
        </w:tc>
        <w:tc>
          <w:tcPr>
            <w:tcW w:w="1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55,072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212"/>
              <w:spacing w:after="0"/>
              <w:rPr>
                <w:sz w:val="20"/>
                <w:szCs w:val="20"/>
                <w:color w:val="auto"/>
              </w:rPr>
            </w:pPr>
            <w:r>
              <w:rPr>
                <w:rFonts w:ascii="Times New Roman" w:cs="Times New Roman" w:eastAsia="Times New Roman" w:hAnsi="Times New Roman"/>
                <w:sz w:val="18"/>
                <w:szCs w:val="18"/>
                <w:color w:val="auto"/>
              </w:rPr>
              <w:t>93</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9A9A9A"/>
            </w:tcBorders>
          </w:tcPr>
          <w:p>
            <w:pPr>
              <w:spacing w:after="0"/>
              <w:rPr>
                <w:sz w:val="21"/>
                <w:szCs w:val="21"/>
                <w:color w:val="auto"/>
              </w:rPr>
            </w:pPr>
          </w:p>
        </w:tc>
        <w:tc>
          <w:tcPr>
            <w:tcW w:w="4700" w:type="dxa"/>
            <w:vAlign w:val="bottom"/>
            <w:tcBorders>
              <w:bottom w:val="single" w:sz="8" w:color="9A9A9A"/>
            </w:tcBorders>
          </w:tcPr>
          <w:p>
            <w:pPr>
              <w:spacing w:after="0"/>
              <w:rPr>
                <w:sz w:val="21"/>
                <w:szCs w:val="21"/>
                <w:color w:val="auto"/>
              </w:rPr>
            </w:pPr>
          </w:p>
        </w:tc>
        <w:tc>
          <w:tcPr>
            <w:tcW w:w="144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124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400" w:type="dxa"/>
            <w:vAlign w:val="bottom"/>
            <w:tcBorders>
              <w:bottom w:val="single" w:sz="8" w:color="9A9A9A"/>
            </w:tcBorders>
          </w:tcPr>
          <w:p>
            <w:pPr>
              <w:spacing w:after="0"/>
              <w:rPr>
                <w:sz w:val="21"/>
                <w:szCs w:val="21"/>
                <w:color w:val="auto"/>
              </w:rPr>
            </w:pPr>
          </w:p>
        </w:tc>
        <w:tc>
          <w:tcPr>
            <w:tcW w:w="124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01" w:name="page102"/>
    <w:bookmarkEnd w:id="101"/>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information</w:t>
      </w:r>
    </w:p>
    <w:p>
      <w:pPr>
        <w:spacing w:after="0" w:line="150" w:lineRule="exact"/>
        <w:rPr>
          <w:sz w:val="20"/>
          <w:szCs w:val="20"/>
          <w:color w:val="auto"/>
        </w:rPr>
      </w:pPr>
    </w:p>
    <w:p>
      <w:pPr>
        <w:ind w:right="420" w:firstLine="315"/>
        <w:spacing w:after="0" w:line="256" w:lineRule="auto"/>
        <w:rPr>
          <w:sz w:val="20"/>
          <w:szCs w:val="20"/>
          <w:color w:val="auto"/>
        </w:rPr>
      </w:pPr>
      <w:r>
        <w:rPr>
          <w:rFonts w:ascii="Times New Roman" w:cs="Times New Roman" w:eastAsia="Times New Roman" w:hAnsi="Times New Roman"/>
          <w:sz w:val="18"/>
          <w:szCs w:val="18"/>
          <w:color w:val="auto"/>
        </w:rPr>
        <w:t>Credit quality of loans held for investment is continuously monitored by dedicated commercial portfolio management and residential credit risk management functions. The Company also has a workout and recovery department that monitors the credit quality of criticized and classified loans and an independent internal credit review function.</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 for commercial loans</w:t>
      </w:r>
    </w:p>
    <w:p>
      <w:pPr>
        <w:spacing w:after="0" w:line="152" w:lineRule="exact"/>
        <w:rPr>
          <w:sz w:val="20"/>
          <w:szCs w:val="20"/>
          <w:color w:val="auto"/>
        </w:rPr>
      </w:pPr>
    </w:p>
    <w:p>
      <w:pPr>
        <w:ind w:right="40" w:firstLine="315"/>
        <w:spacing w:after="0" w:line="245" w:lineRule="auto"/>
        <w:rPr>
          <w:sz w:val="20"/>
          <w:szCs w:val="20"/>
          <w:color w:val="auto"/>
        </w:rPr>
      </w:pPr>
      <w:r>
        <w:rPr>
          <w:rFonts w:ascii="Times New Roman" w:cs="Times New Roman" w:eastAsia="Times New Roman" w:hAnsi="Times New Roman"/>
          <w:sz w:val="18"/>
          <w:szCs w:val="18"/>
          <w:color w:val="auto"/>
        </w:rPr>
        <w:t>Factors that impact risk inherent in commercial portfolio segments include but are not limited to levels of economic activity or potential disruptions in economic activity, health of the national, regional and to a lesser extent global economies, interest rates, industry trends, demographic trends, inflationary trends, including particularly for commercial real estate loans the cost of insurance, patterns of and trends in customer behavior that influence demand for our borrowers' products and services, and commercial real estate values and related market dynamics. Particularly for the office sector, the evolving impact of hybrid and remote work on vacancies and valuations is a factor. Internal risk ratings are considered the most meaningful indicator of credit quality for commercial loans. Internal risk ratings are one indicator of the likelihood that a borrower will default, are a key factor influencing the level and nature of ongoing monitoring of loans and may impact the estimation of the ACL. Internal risk ratings are updated on a continuous basis. Generally, relationships with balances greater than $3 million are re-evaluated at least annually and more frequently if circumstances indicate that a change in risk rating may be warranted. The special mention rating is considered a transitional rating for loans exhibiting potential credit weaknesses that could result in deterioration of repayment prospects at some future date if not checked or corrected and that deserve management’s close attention. These borrowers may exhibit declining cash flows or revenues or increasing leverage. Loans with well-defined credit weaknesses that may result in a loss if the deficiencies are not corrected are assigned a risk rating of substandard. These borrowers may exhibit payment defaults, inadequate cash flows from current operations, operating losses, increasing balance sheet leverage, project cost overruns, unreasonable construction delays, exhausted interest reserves, declining collateral values, frequent overdrafts or past due real estate taxes. Loans with weaknesses so severe that collection in full is highly questionable or improbable, but because of certain reasonably specific pending factors have not been charged off, are assigned an internal risk rating of doubtful.</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Commercial credit exposure based on internal risk rating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2"/>
                <w:szCs w:val="12"/>
                <w:b w:val="1"/>
                <w:bCs w:val="1"/>
                <w:color w:val="auto"/>
              </w:rPr>
              <w:t>Amortized Cost By Origination Year</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200" w:type="dxa"/>
            <w:vAlign w:val="bottom"/>
          </w:tcPr>
          <w:p>
            <w:pPr>
              <w:spacing w:after="0"/>
              <w:rPr>
                <w:sz w:val="16"/>
                <w:szCs w:val="16"/>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84"/>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1,836,664</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870,799</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822,536</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826,480</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382,747</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1,286,442</w:t>
            </w:r>
          </w:p>
        </w:tc>
        <w:tc>
          <w:tcPr>
            <w:tcW w:w="12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119,505</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6,145,173</w:t>
            </w: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82,147</w:t>
            </w: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34,723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105,074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583,551</w:t>
            </w:r>
          </w:p>
        </w:tc>
        <w:tc>
          <w:tcPr>
            <w:tcW w:w="0" w:type="dxa"/>
            <w:vAlign w:val="bottom"/>
          </w:tcPr>
          <w:p>
            <w:pPr>
              <w:spacing w:after="0"/>
              <w:rPr>
                <w:sz w:val="1"/>
                <w:szCs w:val="1"/>
                <w:color w:val="auto"/>
              </w:rPr>
            </w:pPr>
          </w:p>
        </w:tc>
      </w:tr>
      <w:tr>
        <w:trPr>
          <w:trHeight w:val="222"/>
        </w:trPr>
        <w:tc>
          <w:tcPr>
            <w:tcW w:w="2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CRE</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1,871,387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870,799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838,958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935,117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1,675,130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6,810,871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1,693,466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1,159,621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795,383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674,292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337,040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1,001,431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2,852,094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8,513,327</w:t>
            </w: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92,862</w:t>
            </w: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65,788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104,078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375,039</w:t>
            </w: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48,247</w:t>
            </w:r>
          </w:p>
        </w:tc>
        <w:tc>
          <w:tcPr>
            <w:tcW w:w="0" w:type="dxa"/>
            <w:vAlign w:val="bottom"/>
          </w:tcPr>
          <w:p>
            <w:pPr>
              <w:spacing w:after="0"/>
              <w:rPr>
                <w:sz w:val="1"/>
                <w:szCs w:val="1"/>
                <w:color w:val="auto"/>
              </w:rPr>
            </w:pPr>
          </w:p>
        </w:tc>
      </w:tr>
      <w:tr>
        <w:trPr>
          <w:trHeight w:val="222"/>
        </w:trPr>
        <w:tc>
          <w:tcPr>
            <w:tcW w:w="2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C&amp;I</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1,694,633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1,197,640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891,793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1,105,509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2,954,310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9,029,475</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Pinnacle - municipal finance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94,045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63,653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332,308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619,374</w:t>
            </w:r>
          </w:p>
        </w:tc>
        <w:tc>
          <w:tcPr>
            <w:tcW w:w="0" w:type="dxa"/>
            <w:vAlign w:val="bottom"/>
          </w:tcPr>
          <w:p>
            <w:pPr>
              <w:spacing w:after="0"/>
              <w:rPr>
                <w:sz w:val="1"/>
                <w:szCs w:val="1"/>
                <w:color w:val="auto"/>
              </w:rPr>
            </w:pPr>
          </w:p>
        </w:tc>
      </w:tr>
      <w:tr>
        <w:trPr>
          <w:trHeight w:val="190"/>
        </w:trPr>
        <w:tc>
          <w:tcPr>
            <w:tcW w:w="2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Pinnacle - municipal finance</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94,045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37,328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55,340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63,653</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36,700</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332,308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619,374</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Franchise and equipment finance</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22,423</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58,739</w:t>
            </w:r>
          </w:p>
        </w:tc>
        <w:tc>
          <w:tcPr>
            <w:tcW w:w="12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86,065</w:t>
            </w: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16,681</w:t>
            </w:r>
          </w:p>
        </w:tc>
        <w:tc>
          <w:tcPr>
            <w:tcW w:w="0" w:type="dxa"/>
            <w:vAlign w:val="bottom"/>
          </w:tcPr>
          <w:p>
            <w:pPr>
              <w:spacing w:after="0"/>
              <w:rPr>
                <w:sz w:val="1"/>
                <w:szCs w:val="1"/>
                <w:color w:val="auto"/>
              </w:rPr>
            </w:pPr>
          </w:p>
        </w:tc>
      </w:tr>
      <w:tr>
        <w:trPr>
          <w:trHeight w:val="164"/>
        </w:trPr>
        <w:tc>
          <w:tcPr>
            <w:tcW w:w="2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Franchise and equipment finance</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22,423</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75,420</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102,746</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warehouse lending</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728,241</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728,241</w:t>
            </w:r>
          </w:p>
        </w:tc>
        <w:tc>
          <w:tcPr>
            <w:tcW w:w="0" w:type="dxa"/>
            <w:vAlign w:val="bottom"/>
          </w:tcPr>
          <w:p>
            <w:pPr>
              <w:spacing w:after="0"/>
              <w:rPr>
                <w:sz w:val="1"/>
                <w:szCs w:val="1"/>
                <w:color w:val="auto"/>
              </w:rPr>
            </w:pPr>
          </w:p>
        </w:tc>
      </w:tr>
      <w:tr>
        <w:trPr>
          <w:trHeight w:val="222"/>
        </w:trPr>
        <w:tc>
          <w:tcPr>
            <w:tcW w:w="2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Mortgage warehouse lending</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728,241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02" w:name="page103"/>
    <w:bookmarkEnd w:id="102"/>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2"/>
                <w:szCs w:val="12"/>
                <w:b w:val="1"/>
                <w:bCs w:val="1"/>
                <w:color w:val="auto"/>
              </w:rPr>
              <w:t>Amortized Cost By Origination Year</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200" w:type="dxa"/>
            <w:vAlign w:val="bottom"/>
          </w:tcPr>
          <w:p>
            <w:pPr>
              <w:spacing w:after="0"/>
              <w:rPr>
                <w:sz w:val="16"/>
                <w:szCs w:val="16"/>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84"/>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921,888</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783,342</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1,119,032</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609,452</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399,806</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1,478,261</w:t>
            </w:r>
          </w:p>
        </w:tc>
        <w:tc>
          <w:tcPr>
            <w:tcW w:w="12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114,648</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5,426,429</w:t>
            </w: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58,771</w:t>
            </w: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728,992</w:t>
            </w:r>
          </w:p>
        </w:tc>
        <w:tc>
          <w:tcPr>
            <w:tcW w:w="0" w:type="dxa"/>
            <w:vAlign w:val="bottom"/>
          </w:tcPr>
          <w:p>
            <w:pPr>
              <w:spacing w:after="0"/>
              <w:rPr>
                <w:sz w:val="1"/>
                <w:szCs w:val="1"/>
                <w:color w:val="auto"/>
              </w:rPr>
            </w:pPr>
          </w:p>
        </w:tc>
      </w:tr>
      <w:tr>
        <w:trPr>
          <w:trHeight w:val="222"/>
        </w:trPr>
        <w:tc>
          <w:tcPr>
            <w:tcW w:w="2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CRE</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921,888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805,195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1,250,848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730,457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516,110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6,214,192</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1,514,746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1,182,701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962,478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470,041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269,508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1,085,412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2,931,044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8,415,930</w:t>
            </w: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45,092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203,616</w:t>
            </w: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81,798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357,145</w:t>
            </w: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0" w:type="dxa"/>
            <w:vAlign w:val="bottom"/>
          </w:tcPr>
          <w:p>
            <w:pPr>
              <w:spacing w:after="0"/>
              <w:rPr>
                <w:sz w:val="1"/>
                <w:szCs w:val="1"/>
                <w:color w:val="auto"/>
              </w:rPr>
            </w:pPr>
          </w:p>
        </w:tc>
      </w:tr>
      <w:tr>
        <w:trPr>
          <w:trHeight w:val="222"/>
        </w:trPr>
        <w:tc>
          <w:tcPr>
            <w:tcW w:w="2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C&amp;I</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1,559,838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1,240,613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1,109,705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1,186,440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3,060,863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8,983,226</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Pinnacle - municipal finance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60,317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51,034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383,060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720,661</w:t>
            </w:r>
          </w:p>
        </w:tc>
        <w:tc>
          <w:tcPr>
            <w:tcW w:w="0" w:type="dxa"/>
            <w:vAlign w:val="bottom"/>
          </w:tcPr>
          <w:p>
            <w:pPr>
              <w:spacing w:after="0"/>
              <w:rPr>
                <w:sz w:val="1"/>
                <w:szCs w:val="1"/>
                <w:color w:val="auto"/>
              </w:rPr>
            </w:pPr>
          </w:p>
        </w:tc>
      </w:tr>
      <w:tr>
        <w:trPr>
          <w:trHeight w:val="190"/>
        </w:trPr>
        <w:tc>
          <w:tcPr>
            <w:tcW w:w="2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Pinnacle - municipal finance</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60,317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108,440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93,800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51,034</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24,010</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383,060</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720,661</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Franchise and equipment finance</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26,408</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54,871</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16,435</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84,879</w:t>
            </w:r>
          </w:p>
        </w:tc>
        <w:tc>
          <w:tcPr>
            <w:tcW w:w="12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184,781</w:t>
            </w: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28,375</w:t>
            </w:r>
          </w:p>
        </w:tc>
        <w:tc>
          <w:tcPr>
            <w:tcW w:w="0" w:type="dxa"/>
            <w:vAlign w:val="bottom"/>
          </w:tcPr>
          <w:p>
            <w:pPr>
              <w:spacing w:after="0"/>
              <w:rPr>
                <w:sz w:val="1"/>
                <w:szCs w:val="1"/>
                <w:color w:val="auto"/>
              </w:rPr>
            </w:pPr>
          </w:p>
        </w:tc>
      </w:tr>
      <w:tr>
        <w:trPr>
          <w:trHeight w:val="190"/>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96"/>
        </w:trPr>
        <w:tc>
          <w:tcPr>
            <w:tcW w:w="2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Franchise and equipment finance</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111,814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213,477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Mortgage warehouse lending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585,610</w:t>
            </w:r>
          </w:p>
        </w:tc>
        <w:tc>
          <w:tcPr>
            <w:tcW w:w="0" w:type="dxa"/>
            <w:vAlign w:val="bottom"/>
          </w:tcPr>
          <w:p>
            <w:pPr>
              <w:spacing w:after="0"/>
              <w:rPr>
                <w:sz w:val="1"/>
                <w:szCs w:val="1"/>
                <w:color w:val="auto"/>
              </w:rPr>
            </w:pPr>
          </w:p>
        </w:tc>
      </w:tr>
      <w:tr>
        <w:trPr>
          <w:trHeight w:val="190"/>
        </w:trPr>
        <w:tc>
          <w:tcPr>
            <w:tcW w:w="2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Mortgage warehouse lending</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585,610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585,610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2025 and 2024, the balance of revolving loans converted to term loans was immaterial.</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criticized and classified commercial loans in aggregate by risk rating category at the dates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mention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262,387</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Substandard - accruing</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894,754</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Substandard - non-accruing</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219,758</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Doubtful</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6,856</w:t>
            </w:r>
          </w:p>
        </w:tc>
      </w:tr>
      <w:tr>
        <w:trPr>
          <w:trHeight w:val="242"/>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1,383,755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 for residential loans</w:t>
      </w:r>
    </w:p>
    <w:p>
      <w:pPr>
        <w:spacing w:after="0" w:line="139" w:lineRule="exact"/>
        <w:rPr>
          <w:sz w:val="20"/>
          <w:szCs w:val="20"/>
          <w:color w:val="auto"/>
        </w:rPr>
      </w:pPr>
    </w:p>
    <w:p>
      <w:pPr>
        <w:ind w:right="80" w:firstLine="315"/>
        <w:spacing w:after="0" w:line="247" w:lineRule="auto"/>
        <w:rPr>
          <w:sz w:val="20"/>
          <w:szCs w:val="20"/>
          <w:color w:val="auto"/>
        </w:rPr>
      </w:pPr>
      <w:r>
        <w:rPr>
          <w:rFonts w:ascii="Times New Roman" w:cs="Times New Roman" w:eastAsia="Times New Roman" w:hAnsi="Times New Roman"/>
          <w:sz w:val="18"/>
          <w:szCs w:val="18"/>
          <w:color w:val="auto"/>
        </w:rPr>
        <w:t>Management considers delinquency status to be the most meaningful indicator of the credit quality of residential loans, other than government insured residential loans. Delinquency status is updated at least monthly. LTV and FICO scores are also important indicators of credit quality for 1-4 single family residential loans other than government insured loans. FICO scores are generally updated semi-annually, and were most recently updated in the third quarter of 2025. LTVs are typically at origination. Substantially all of the government insured residential loans are government insured Buyout Loans, which the Company buys out of GNMA securitizations upon default. For these loans, traditional measures of credit quality are not particularly relevant considering the guaranteed nature of the loans and the underlying business model. Factors that impact risk inherent in the residential portfolio segment include national and regional economic conditions such as levels of unemployment, wages and interest rates, as well as residential property values.</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3" w:name="page104"/>
    <w:bookmarkEnd w:id="103"/>
    <w:p>
      <w:pPr>
        <w:ind w:left="28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1-4 Single Family Residential credit exposure, excluding government insured residential loans, based on delinquency status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2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5"/>
        </w:trPr>
        <w:tc>
          <w:tcPr>
            <w:tcW w:w="2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Days Past Due</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245,592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197,279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2,543,128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1,883,061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6,021,772</w:t>
            </w:r>
          </w:p>
        </w:tc>
      </w:tr>
      <w:tr>
        <w:trPr>
          <w:trHeight w:val="208"/>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30 - 59 Days Past Due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48,099</w:t>
            </w:r>
          </w:p>
        </w:tc>
      </w:tr>
      <w:tr>
        <w:trPr>
          <w:trHeight w:val="212"/>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60 - 89 Days Past Due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r>
      <w:tr>
        <w:trPr>
          <w:trHeight w:val="208"/>
        </w:trPr>
        <w:tc>
          <w:tcPr>
            <w:tcW w:w="2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90 Days or More Past Due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17,620</w:t>
            </w:r>
          </w:p>
        </w:tc>
      </w:tr>
      <w:tr>
        <w:trPr>
          <w:trHeight w:val="228"/>
        </w:trPr>
        <w:tc>
          <w:tcPr>
            <w:tcW w:w="2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248,591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199,367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928,477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2,567,024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1,914,944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6,091,959</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411"/>
        </w:trPr>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
        </w:trPr>
        <w:tc>
          <w:tcPr>
            <w:tcW w:w="2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2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5"/>
        </w:trPr>
        <w:tc>
          <w:tcPr>
            <w:tcW w:w="2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Days Past Due</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Borders>
              <w:bottom w:val="single" w:sz="8" w:color="CCEEFF"/>
            </w:tcBorders>
            <w:gridSpan w:val="2"/>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251,767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304,595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1,012,777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2,744,941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798,346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1,340,402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6,452,828</w:t>
            </w:r>
          </w:p>
        </w:tc>
      </w:tr>
      <w:tr>
        <w:trPr>
          <w:trHeight w:val="208"/>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30 - 59 Days Past Due</w:t>
            </w:r>
          </w:p>
        </w:tc>
        <w:tc>
          <w:tcPr>
            <w:tcW w:w="24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4,948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32,975</w:t>
            </w:r>
          </w:p>
        </w:tc>
      </w:tr>
      <w:tr>
        <w:trPr>
          <w:trHeight w:val="212"/>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60 - 89 Days Past Due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w:t>
            </w:r>
          </w:p>
        </w:tc>
      </w:tr>
      <w:tr>
        <w:trPr>
          <w:trHeight w:val="208"/>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90 Days or More Past Due</w:t>
            </w:r>
          </w:p>
        </w:tc>
        <w:tc>
          <w:tcPr>
            <w:tcW w:w="24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16,964</w:t>
            </w:r>
          </w:p>
        </w:tc>
      </w:tr>
      <w:tr>
        <w:trPr>
          <w:trHeight w:val="228"/>
        </w:trPr>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1,021,656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2,767,773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798,820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1,361,110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6,508,922</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1-4 Single Family Residential credit exposure, excluding government insured residential loans, based on LTV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2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2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5"/>
        </w:trPr>
        <w:tc>
          <w:tcPr>
            <w:tcW w:w="2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LTV</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than 61%</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213,007</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1,035,507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652,497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2,010,348</w:t>
            </w: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61% - 70%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241,588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715,135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454,229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1,508,048</w:t>
            </w:r>
          </w:p>
        </w:tc>
      </w:tr>
      <w:tr>
        <w:trPr>
          <w:trHeight w:val="212"/>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71% - 80%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470,437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775,835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2,384,154</w:t>
            </w:r>
          </w:p>
        </w:tc>
      </w:tr>
      <w:tr>
        <w:trPr>
          <w:trHeight w:val="208"/>
        </w:trPr>
        <w:tc>
          <w:tcPr>
            <w:tcW w:w="2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More than 80%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59,780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3,445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189,409</w:t>
            </w:r>
          </w:p>
        </w:tc>
      </w:tr>
      <w:tr>
        <w:trPr>
          <w:trHeight w:val="228"/>
        </w:trPr>
        <w:tc>
          <w:tcPr>
            <w:tcW w:w="2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233,556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928,477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2,567,024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1,914,944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6,091,959</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98"/>
        </w:trPr>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
        </w:trPr>
        <w:tc>
          <w:tcPr>
            <w:tcW w:w="2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2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5"/>
        </w:trPr>
        <w:tc>
          <w:tcPr>
            <w:tcW w:w="2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LTV</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than 61%</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1,124,532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2,170,332</w:t>
            </w:r>
          </w:p>
        </w:tc>
      </w:tr>
      <w:tr>
        <w:trPr>
          <w:trHeight w:val="208"/>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61% - 70%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759,931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1,610,034</w:t>
            </w:r>
          </w:p>
        </w:tc>
      </w:tr>
      <w:tr>
        <w:trPr>
          <w:trHeight w:val="212"/>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71% - 80%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518,164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851,427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2,582,887</w:t>
            </w:r>
          </w:p>
        </w:tc>
      </w:tr>
      <w:tr>
        <w:trPr>
          <w:trHeight w:val="208"/>
        </w:trPr>
        <w:tc>
          <w:tcPr>
            <w:tcW w:w="2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More than 80%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145,669</w:t>
            </w:r>
          </w:p>
        </w:tc>
      </w:tr>
      <w:tr>
        <w:trPr>
          <w:trHeight w:val="228"/>
        </w:trPr>
        <w:tc>
          <w:tcPr>
            <w:tcW w:w="2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251,923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1,021,656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2,767,773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798,820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1,361,110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6,508,922</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1-4 Single Family Residential credit exposure, excluding government insured residential loans, based on FICO score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2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2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5"/>
        </w:trPr>
        <w:tc>
          <w:tcPr>
            <w:tcW w:w="2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FICO</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760 or greater</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178,910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145,699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167,837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671,820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2,058,226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1,395,521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4,618,013</w:t>
            </w:r>
          </w:p>
        </w:tc>
      </w:tr>
      <w:tr>
        <w:trPr>
          <w:trHeight w:val="208"/>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720 - 759</w:t>
            </w:r>
          </w:p>
        </w:tc>
        <w:tc>
          <w:tcPr>
            <w:tcW w:w="2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54,894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37,624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324,779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287,334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885,374</w:t>
            </w:r>
          </w:p>
        </w:tc>
      </w:tr>
      <w:tr>
        <w:trPr>
          <w:trHeight w:val="21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719 or less or not available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14,787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17,856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28,095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184,019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232,089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588,572</w:t>
            </w:r>
          </w:p>
        </w:tc>
      </w:tr>
      <w:tr>
        <w:trPr>
          <w:trHeight w:val="203"/>
        </w:trPr>
        <w:tc>
          <w:tcPr>
            <w:tcW w:w="234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248,591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199,367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233,556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928,477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2,567,024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1,914,944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6,091,959</w:t>
            </w:r>
          </w:p>
        </w:tc>
      </w:tr>
      <w:tr>
        <w:trPr>
          <w:trHeight w:val="21"/>
        </w:trPr>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159385</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261" w:right="359" w:bottom="1440" w:gutter="0" w:footer="0" w:header="0"/>
        </w:sectPr>
      </w:pPr>
    </w:p>
    <w:bookmarkStart w:id="104" w:name="page105"/>
    <w:bookmarkEnd w:id="104"/>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2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2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5"/>
        </w:trPr>
        <w:tc>
          <w:tcPr>
            <w:tcW w:w="2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FICO</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760 or greater</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725,399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2,202,004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952,136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4,916,853</w:t>
            </w:r>
          </w:p>
        </w:tc>
      </w:tr>
      <w:tr>
        <w:trPr>
          <w:trHeight w:val="208"/>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720 - 759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173,309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944,943</w:t>
            </w:r>
          </w:p>
        </w:tc>
      </w:tr>
      <w:tr>
        <w:trPr>
          <w:trHeight w:val="21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719 or less or not available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122,948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200,571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216,031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647,126</w:t>
            </w:r>
          </w:p>
        </w:tc>
      </w:tr>
      <w:tr>
        <w:trPr>
          <w:trHeight w:val="203"/>
        </w:trPr>
        <w:tc>
          <w:tcPr>
            <w:tcW w:w="234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251,923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307,640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1,021,656</w:t>
            </w:r>
          </w:p>
        </w:tc>
        <w:tc>
          <w:tcPr>
            <w:tcW w:w="10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2,767,773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798,820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1,361,110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6,508,922</w:t>
            </w:r>
          </w:p>
        </w:tc>
      </w:tr>
      <w:tr>
        <w:trPr>
          <w:trHeight w:val="21"/>
        </w:trPr>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Past Due and Non-Accrual Loans</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an aging of loans at the dates indicated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2"/>
              <w:spacing w:after="0" w:line="125" w:lineRule="exact"/>
              <w:rPr>
                <w:sz w:val="20"/>
                <w:szCs w:val="20"/>
                <w:color w:val="auto"/>
              </w:rPr>
            </w:pPr>
            <w:r>
              <w:rPr>
                <w:rFonts w:ascii="Times New Roman" w:cs="Times New Roman" w:eastAsia="Times New Roman" w:hAnsi="Times New Roman"/>
                <w:sz w:val="12"/>
                <w:szCs w:val="12"/>
                <w:b w:val="1"/>
                <w:bCs w:val="1"/>
                <w:color w:val="auto"/>
                <w:w w:val="99"/>
              </w:rPr>
              <w:t>30 - 59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32"/>
              <w:spacing w:after="0" w:line="125" w:lineRule="exact"/>
              <w:rPr>
                <w:sz w:val="20"/>
                <w:szCs w:val="20"/>
                <w:color w:val="auto"/>
              </w:rPr>
            </w:pPr>
            <w:r>
              <w:rPr>
                <w:rFonts w:ascii="Times New Roman" w:cs="Times New Roman" w:eastAsia="Times New Roman" w:hAnsi="Times New Roman"/>
                <w:sz w:val="12"/>
                <w:szCs w:val="12"/>
                <w:b w:val="1"/>
                <w:bCs w:val="1"/>
                <w:color w:val="auto"/>
              </w:rPr>
              <w:t>60 - 89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2"/>
                <w:szCs w:val="12"/>
                <w:b w:val="1"/>
                <w:bCs w:val="1"/>
                <w:color w:val="auto"/>
                <w:w w:val="98"/>
              </w:rPr>
              <w:t>90 Days or</w:t>
            </w: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Total Amortized</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32"/>
              <w:spacing w:after="0" w:line="125" w:lineRule="exact"/>
              <w:rPr>
                <w:sz w:val="20"/>
                <w:szCs w:val="20"/>
                <w:color w:val="auto"/>
              </w:rPr>
            </w:pPr>
            <w:r>
              <w:rPr>
                <w:rFonts w:ascii="Times New Roman" w:cs="Times New Roman" w:eastAsia="Times New Roman" w:hAnsi="Times New Roman"/>
                <w:sz w:val="12"/>
                <w:szCs w:val="12"/>
                <w:b w:val="1"/>
                <w:bCs w:val="1"/>
                <w:color w:val="auto"/>
                <w:w w:val="99"/>
              </w:rPr>
              <w:t>30 - 59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2"/>
              <w:spacing w:after="0" w:line="125" w:lineRule="exact"/>
              <w:rPr>
                <w:sz w:val="20"/>
                <w:szCs w:val="20"/>
                <w:color w:val="auto"/>
              </w:rPr>
            </w:pPr>
            <w:r>
              <w:rPr>
                <w:rFonts w:ascii="Times New Roman" w:cs="Times New Roman" w:eastAsia="Times New Roman" w:hAnsi="Times New Roman"/>
                <w:sz w:val="12"/>
                <w:szCs w:val="12"/>
                <w:b w:val="1"/>
                <w:bCs w:val="1"/>
                <w:color w:val="auto"/>
                <w:w w:val="99"/>
              </w:rPr>
              <w:t>60 - 89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2"/>
                <w:szCs w:val="12"/>
                <w:b w:val="1"/>
                <w:bCs w:val="1"/>
                <w:color w:val="auto"/>
              </w:rPr>
              <w:t>90 Days or</w:t>
            </w:r>
          </w:p>
        </w:tc>
        <w:tc>
          <w:tcPr>
            <w:tcW w:w="100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2"/>
                <w:szCs w:val="12"/>
                <w:b w:val="1"/>
                <w:bCs w:val="1"/>
                <w:color w:val="auto"/>
              </w:rPr>
              <w:t>Total Amortized</w:t>
            </w: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Current</w:t>
            </w:r>
          </w:p>
        </w:tc>
        <w:tc>
          <w:tcPr>
            <w:tcW w:w="120" w:type="dxa"/>
            <w:vAlign w:val="bottom"/>
          </w:tcPr>
          <w:p>
            <w:pPr>
              <w:spacing w:after="0"/>
              <w:rPr>
                <w:sz w:val="10"/>
                <w:szCs w:val="10"/>
                <w:color w:val="auto"/>
              </w:rPr>
            </w:pPr>
          </w:p>
        </w:tc>
        <w:tc>
          <w:tcPr>
            <w:tcW w:w="660" w:type="dxa"/>
            <w:vAlign w:val="bottom"/>
          </w:tcPr>
          <w:p>
            <w:pPr>
              <w:jc w:val="center"/>
              <w:ind w:right="32"/>
              <w:spacing w:after="0" w:line="125" w:lineRule="exact"/>
              <w:rPr>
                <w:sz w:val="20"/>
                <w:szCs w:val="20"/>
                <w:color w:val="auto"/>
              </w:rPr>
            </w:pPr>
            <w:r>
              <w:rPr>
                <w:rFonts w:ascii="Times New Roman" w:cs="Times New Roman" w:eastAsia="Times New Roman" w:hAnsi="Times New Roman"/>
                <w:sz w:val="12"/>
                <w:szCs w:val="12"/>
                <w:b w:val="1"/>
                <w:bCs w:val="1"/>
                <w:color w:val="auto"/>
              </w:rPr>
              <w:t>Days Past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rPr>
              <w:t>Days Past</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2"/>
                <w:szCs w:val="12"/>
                <w:b w:val="1"/>
                <w:bCs w:val="1"/>
                <w:color w:val="auto"/>
              </w:rPr>
              <w:t>More Past</w:t>
            </w:r>
          </w:p>
        </w:tc>
        <w:tc>
          <w:tcPr>
            <w:tcW w:w="11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Current</w:t>
            </w:r>
          </w:p>
        </w:tc>
        <w:tc>
          <w:tcPr>
            <w:tcW w:w="100" w:type="dxa"/>
            <w:vAlign w:val="bottom"/>
          </w:tcPr>
          <w:p>
            <w:pPr>
              <w:spacing w:after="0"/>
              <w:rPr>
                <w:sz w:val="10"/>
                <w:szCs w:val="10"/>
                <w:color w:val="auto"/>
              </w:rPr>
            </w:pPr>
          </w:p>
        </w:tc>
        <w:tc>
          <w:tcPr>
            <w:tcW w:w="680" w:type="dxa"/>
            <w:vAlign w:val="bottom"/>
          </w:tcPr>
          <w:p>
            <w:pPr>
              <w:jc w:val="center"/>
              <w:ind w:right="52"/>
              <w:spacing w:after="0" w:line="125" w:lineRule="exact"/>
              <w:rPr>
                <w:sz w:val="20"/>
                <w:szCs w:val="20"/>
                <w:color w:val="auto"/>
              </w:rPr>
            </w:pPr>
            <w:r>
              <w:rPr>
                <w:rFonts w:ascii="Times New Roman" w:cs="Times New Roman" w:eastAsia="Times New Roman" w:hAnsi="Times New Roman"/>
                <w:sz w:val="12"/>
                <w:szCs w:val="12"/>
                <w:b w:val="1"/>
                <w:bCs w:val="1"/>
                <w:color w:val="auto"/>
              </w:rPr>
              <w:t>Days Past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2"/>
                <w:szCs w:val="12"/>
                <w:b w:val="1"/>
                <w:bCs w:val="1"/>
                <w:color w:val="auto"/>
                <w:w w:val="99"/>
              </w:rPr>
              <w:t>Days Past</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2"/>
                <w:szCs w:val="12"/>
                <w:b w:val="1"/>
                <w:bCs w:val="1"/>
                <w:color w:val="auto"/>
              </w:rPr>
              <w:t>More Past</w:t>
            </w: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2"/>
              <w:spacing w:after="0"/>
              <w:rPr>
                <w:sz w:val="20"/>
                <w:szCs w:val="20"/>
                <w:color w:val="auto"/>
              </w:rPr>
            </w:pPr>
            <w:r>
              <w:rPr>
                <w:rFonts w:ascii="Times New Roman" w:cs="Times New Roman" w:eastAsia="Times New Roman" w:hAnsi="Times New Roman"/>
                <w:sz w:val="12"/>
                <w:szCs w:val="12"/>
                <w:b w:val="1"/>
                <w:bCs w:val="1"/>
                <w:color w:val="auto"/>
                <w:w w:val="96"/>
              </w:rPr>
              <w:t>Due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Due</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Due</w:t>
            </w:r>
          </w:p>
        </w:tc>
        <w:tc>
          <w:tcPr>
            <w:tcW w:w="2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Due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Due</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Due</w:t>
            </w:r>
          </w:p>
        </w:tc>
        <w:tc>
          <w:tcPr>
            <w:tcW w:w="200" w:type="dxa"/>
            <w:vAlign w:val="bottom"/>
          </w:tcPr>
          <w:p>
            <w:pPr>
              <w:spacing w:after="0"/>
              <w:rPr>
                <w:sz w:val="14"/>
                <w:szCs w:val="14"/>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2"/>
                <w:szCs w:val="12"/>
                <w:b w:val="1"/>
                <w:bCs w:val="1"/>
                <w:color w:val="auto"/>
              </w:rPr>
              <w:t>Cost</w:t>
            </w:r>
          </w:p>
        </w:tc>
        <w:tc>
          <w:tcPr>
            <w:tcW w:w="0" w:type="dxa"/>
            <w:vAlign w:val="bottom"/>
          </w:tcPr>
          <w:p>
            <w:pPr>
              <w:spacing w:after="0"/>
              <w:rPr>
                <w:sz w:val="1"/>
                <w:szCs w:val="1"/>
                <w:color w:val="auto"/>
              </w:rPr>
            </w:pPr>
          </w:p>
        </w:tc>
      </w:tr>
      <w:tr>
        <w:trPr>
          <w:trHeight w:val="195"/>
        </w:trPr>
        <w:tc>
          <w:tcPr>
            <w:tcW w:w="1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6,768,897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26,356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6,810,871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6,145,386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6,214,192</w:t>
            </w:r>
          </w:p>
        </w:tc>
        <w:tc>
          <w:tcPr>
            <w:tcW w:w="0" w:type="dxa"/>
            <w:vAlign w:val="bottom"/>
          </w:tcPr>
          <w:p>
            <w:pPr>
              <w:spacing w:after="0"/>
              <w:rPr>
                <w:sz w:val="1"/>
                <w:szCs w:val="1"/>
                <w:color w:val="auto"/>
              </w:rPr>
            </w:pPr>
          </w:p>
        </w:tc>
      </w:tr>
      <w:tr>
        <w:trPr>
          <w:trHeight w:val="190"/>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8,893,254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81,374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9,029,475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8,911,057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8,983,226</w:t>
            </w:r>
          </w:p>
        </w:tc>
        <w:tc>
          <w:tcPr>
            <w:tcW w:w="0" w:type="dxa"/>
            <w:vAlign w:val="bottom"/>
          </w:tcPr>
          <w:p>
            <w:pPr>
              <w:spacing w:after="0"/>
              <w:rPr>
                <w:sz w:val="1"/>
                <w:szCs w:val="1"/>
                <w:color w:val="auto"/>
              </w:rPr>
            </w:pPr>
          </w:p>
        </w:tc>
      </w:tr>
      <w:tr>
        <w:trPr>
          <w:trHeight w:val="142"/>
        </w:trPr>
        <w:tc>
          <w:tcPr>
            <w:tcW w:w="14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Pinnacle - municipal</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619,374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720,661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720,661</w:t>
            </w: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w:t>
            </w: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Franchise and equipment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102,746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102,746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213,477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213,477</w:t>
            </w:r>
          </w:p>
        </w:tc>
        <w:tc>
          <w:tcPr>
            <w:tcW w:w="0" w:type="dxa"/>
            <w:vAlign w:val="bottom"/>
          </w:tcPr>
          <w:p>
            <w:pPr>
              <w:spacing w:after="0"/>
              <w:rPr>
                <w:sz w:val="1"/>
                <w:szCs w:val="1"/>
                <w:color w:val="auto"/>
              </w:rPr>
            </w:pPr>
          </w:p>
        </w:tc>
      </w:tr>
      <w:tr>
        <w:trPr>
          <w:trHeight w:val="188"/>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4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Mortgage warehouse</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728,241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585,610</w:t>
            </w: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lending</w:t>
            </w: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1-4 single family</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6,021,772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48,099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17,620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6,091,959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6,452,828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16,964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6,508,922</w:t>
            </w:r>
          </w:p>
        </w:tc>
        <w:tc>
          <w:tcPr>
            <w:tcW w:w="0" w:type="dxa"/>
            <w:vAlign w:val="bottom"/>
          </w:tcPr>
          <w:p>
            <w:pPr>
              <w:spacing w:after="0"/>
              <w:rPr>
                <w:sz w:val="1"/>
                <w:szCs w:val="1"/>
                <w:color w:val="auto"/>
              </w:rPr>
            </w:pPr>
          </w:p>
        </w:tc>
      </w:tr>
      <w:tr>
        <w:trPr>
          <w:trHeight w:val="188"/>
        </w:trPr>
        <w:tc>
          <w:tcPr>
            <w:tcW w:w="1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4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Government insured</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604,334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159,109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891,041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691,111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1,071,892</w:t>
            </w: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23,738,618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156,658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93,972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284,459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24,273,707</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23,720,130</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192,399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78,481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306,970</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24,297,980</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80" w:firstLine="315"/>
        <w:spacing w:after="0" w:line="268" w:lineRule="auto"/>
        <w:rPr>
          <w:sz w:val="20"/>
          <w:szCs w:val="20"/>
          <w:color w:val="auto"/>
        </w:rPr>
      </w:pPr>
      <w:r>
        <w:rPr>
          <w:rFonts w:ascii="Times New Roman" w:cs="Times New Roman" w:eastAsia="Times New Roman" w:hAnsi="Times New Roman"/>
          <w:sz w:val="18"/>
          <w:szCs w:val="18"/>
          <w:color w:val="auto"/>
        </w:rPr>
        <w:t>Included in the table above is the guaranteed portion of SBA loans past due by 90 days or more totaling $34 million ($25 million of C&amp;I and $9 million of CRE) and $33 million at December 31, 2025 and 2024, respectively.</w:t>
      </w:r>
    </w:p>
    <w:p>
      <w:pPr>
        <w:spacing w:after="0" w:line="90" w:lineRule="exact"/>
        <w:rPr>
          <w:sz w:val="20"/>
          <w:szCs w:val="20"/>
          <w:color w:val="auto"/>
        </w:rPr>
      </w:pPr>
    </w:p>
    <w:p>
      <w:pPr>
        <w:ind w:right="160" w:firstLine="315"/>
        <w:spacing w:after="0" w:line="256" w:lineRule="auto"/>
        <w:rPr>
          <w:sz w:val="20"/>
          <w:szCs w:val="20"/>
          <w:color w:val="auto"/>
        </w:rPr>
      </w:pPr>
      <w:r>
        <w:rPr>
          <w:rFonts w:ascii="Times New Roman" w:cs="Times New Roman" w:eastAsia="Times New Roman" w:hAnsi="Times New Roman"/>
          <w:sz w:val="18"/>
          <w:szCs w:val="18"/>
          <w:color w:val="auto"/>
        </w:rPr>
        <w:t>Loans contractually delinquent by 90 days or more and still accruing totaled $159 million and $227 million at December 31, 2025 and 2024, respectively, substantially all of which were government insured residential loans. These loans are Buyout Loans, which the Company buys out of GNMA securitizations upon default.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about loans on non-accrual status at the dates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5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4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Amortized Cost With</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4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Amortized Cost With</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 Related Allowance</w:t>
            </w: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 Related Allowance</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95,378</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65,004</w:t>
            </w:r>
          </w:p>
        </w:tc>
        <w:tc>
          <w:tcPr>
            <w:tcW w:w="0" w:type="dxa"/>
            <w:vAlign w:val="bottom"/>
          </w:tcPr>
          <w:p>
            <w:pPr>
              <w:spacing w:after="0"/>
              <w:rPr>
                <w:sz w:val="1"/>
                <w:szCs w:val="1"/>
                <w:color w:val="auto"/>
              </w:rPr>
            </w:pPr>
          </w:p>
        </w:tc>
      </w:tr>
      <w:tr>
        <w:trPr>
          <w:trHeight w:val="22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C&amp;I</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238,267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125,226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41,929</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 and equipment finance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 single family residential</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80" w:firstLine="315"/>
        <w:spacing w:after="0" w:line="252" w:lineRule="auto"/>
        <w:rPr>
          <w:sz w:val="20"/>
          <w:szCs w:val="20"/>
          <w:color w:val="auto"/>
        </w:rPr>
      </w:pPr>
      <w:r>
        <w:rPr>
          <w:rFonts w:ascii="Times New Roman" w:cs="Times New Roman" w:eastAsia="Times New Roman" w:hAnsi="Times New Roman"/>
          <w:sz w:val="18"/>
          <w:szCs w:val="18"/>
          <w:color w:val="auto"/>
        </w:rPr>
        <w:t>Included in the table above is the guaranteed portion of non-accrual SBA loans totaling $37.9 million and $34.3 million at December 31, 2025 and 2024, respectively. The amount of interest income recognized on non-accrual loans was insignificant for the years ended December 31, 2025, 2024 and 2023. The amount of additional interest income that would have been recognized on non-accrual loans had they performed in accordance with their contractual terms was not material for the years ended December 31, 2025, 2024 and 2023.</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5" w:name="page106"/>
    <w:bookmarkEnd w:id="105"/>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Collateral dependent loans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collateral dependent loans at the dates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3200" w:type="dxa"/>
            <w:vAlign w:val="bottom"/>
            <w:gridSpan w:val="4"/>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6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Extent to Which Secured by</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Extent to Which Secured by</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center"/>
              <w:ind w:right="11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center"/>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91,050</w:t>
            </w:r>
          </w:p>
        </w:tc>
        <w:tc>
          <w:tcPr>
            <w:tcW w:w="0" w:type="dxa"/>
            <w:vAlign w:val="bottom"/>
          </w:tcPr>
          <w:p>
            <w:pPr>
              <w:spacing w:after="0"/>
              <w:rPr>
                <w:sz w:val="1"/>
                <w:szCs w:val="1"/>
                <w:color w:val="auto"/>
              </w:rPr>
            </w:pPr>
          </w:p>
        </w:tc>
      </w:tr>
      <w:tr>
        <w:trPr>
          <w:trHeight w:val="22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78,150</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Franchise and equipment finance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285,232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256,943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187,858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174,889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120" w:firstLine="315"/>
        <w:spacing w:after="0" w:line="252" w:lineRule="auto"/>
        <w:rPr>
          <w:sz w:val="20"/>
          <w:szCs w:val="20"/>
          <w:color w:val="auto"/>
        </w:rPr>
      </w:pPr>
      <w:r>
        <w:rPr>
          <w:rFonts w:ascii="Times New Roman" w:cs="Times New Roman" w:eastAsia="Times New Roman" w:hAnsi="Times New Roman"/>
          <w:sz w:val="18"/>
          <w:szCs w:val="18"/>
          <w:color w:val="auto"/>
        </w:rPr>
        <w:t>Collateral for the CRE loan class generally consists of commercial real estate, or for certain construction loans, residential real estate. Collateral for C&amp;I loans generally consists of equipment, accounts receivable, inventory and other business assets and for owner-occupied commercial real estate loans, may also include commercial real estate. Franchise and equipment finance loans may be collateralized by franchise value or by equipment. There were no significant changes to the extent to which collateral secured collateral dependent loans during the years ended December 31, 2025 and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Foreclosure of residential real estate</w:t>
      </w:r>
    </w:p>
    <w:p>
      <w:pPr>
        <w:spacing w:after="0" w:line="150"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The recorded investment in residential loans in the process of foreclosure was $104 million, of which $96 million was government insured at December 31, 2025, and $167 million, of which $157 million was government insured at December 31, 2024. The carrying amount of foreclosed residential real estate included in other assets in the accompanying consolidated balance sheet was insignificant at December 31, 2025 and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Modifications</w:t>
      </w:r>
    </w:p>
    <w:p>
      <w:pPr>
        <w:spacing w:after="0" w:line="150" w:lineRule="exact"/>
        <w:rPr>
          <w:sz w:val="20"/>
          <w:szCs w:val="20"/>
          <w:color w:val="auto"/>
        </w:rPr>
      </w:pPr>
    </w:p>
    <w:p>
      <w:pPr>
        <w:ind w:right="48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tables summarize loans that were modified for borrowers experiencing financial difficulty, by type of modification, during the periods indicated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Year Ended December 31, 2025</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Combination</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2"/>
                <w:szCs w:val="12"/>
                <w:b w:val="1"/>
                <w:bCs w:val="1"/>
                <w:color w:val="auto"/>
              </w:rPr>
              <w:t>Interest Rate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Other than</w:t>
            </w:r>
          </w:p>
        </w:tc>
        <w:tc>
          <w:tcPr>
            <w:tcW w:w="14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Interest Rate</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rPr>
              <w:t>Reduction and</w:t>
            </w:r>
          </w:p>
        </w:tc>
        <w:tc>
          <w:tcPr>
            <w:tcW w:w="124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rPr>
              <w:t>Term Extension and</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Interest Rate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Other than</w:t>
            </w: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Other than</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 Modified in</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Insignificant</w:t>
            </w:r>
          </w:p>
        </w:tc>
        <w:tc>
          <w:tcPr>
            <w:tcW w:w="12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Reduction and Term</w:t>
            </w:r>
          </w:p>
        </w:tc>
        <w:tc>
          <w:tcPr>
            <w:tcW w:w="120" w:type="dxa"/>
            <w:vAlign w:val="bottom"/>
          </w:tcPr>
          <w:p>
            <w:pPr>
              <w:spacing w:after="0"/>
              <w:rPr>
                <w:sz w:val="10"/>
                <w:szCs w:val="10"/>
                <w:color w:val="auto"/>
              </w:rPr>
            </w:pPr>
          </w:p>
        </w:tc>
        <w:tc>
          <w:tcPr>
            <w:tcW w:w="11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2"/>
                <w:szCs w:val="12"/>
                <w:b w:val="1"/>
                <w:bCs w:val="1"/>
                <w:color w:val="auto"/>
              </w:rPr>
              <w:t>Insignificant</w:t>
            </w: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Insignificant</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Reduction</w:t>
            </w:r>
          </w:p>
        </w:tc>
        <w:tc>
          <w:tcPr>
            <w:tcW w:w="12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Payment Delays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Extension</w:t>
            </w:r>
          </w:p>
        </w:tc>
        <w:tc>
          <w:tcPr>
            <w:tcW w:w="1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Payment Delays</w:t>
            </w:r>
          </w:p>
        </w:tc>
        <w:tc>
          <w:tcPr>
            <w:tcW w:w="1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Payment Delays</w:t>
            </w:r>
          </w:p>
        </w:tc>
        <w:tc>
          <w:tcPr>
            <w:tcW w:w="26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Portfolio Segment</w:t>
            </w:r>
          </w:p>
        </w:tc>
        <w:tc>
          <w:tcPr>
            <w:tcW w:w="0" w:type="dxa"/>
            <w:vAlign w:val="bottom"/>
          </w:tcPr>
          <w:p>
            <w:pPr>
              <w:spacing w:after="0"/>
              <w:rPr>
                <w:sz w:val="1"/>
                <w:szCs w:val="1"/>
                <w:color w:val="auto"/>
              </w:rPr>
            </w:pPr>
          </w:p>
        </w:tc>
      </w:tr>
      <w:tr>
        <w:trPr>
          <w:trHeight w:val="171"/>
        </w:trPr>
        <w:tc>
          <w:tcPr>
            <w:tcW w:w="1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98,980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107,726</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0" w:type="dxa"/>
            <w:vAlign w:val="bottom"/>
          </w:tcPr>
          <w:p>
            <w:pPr>
              <w:spacing w:after="0"/>
              <w:rPr>
                <w:sz w:val="1"/>
                <w:szCs w:val="1"/>
                <w:color w:val="auto"/>
              </w:rPr>
            </w:pPr>
          </w:p>
        </w:tc>
      </w:tr>
      <w:tr>
        <w:trPr>
          <w:trHeight w:val="165"/>
        </w:trPr>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C&amp;I</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59,240</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124"/>
        </w:trPr>
        <w:tc>
          <w:tcPr>
            <w:tcW w:w="13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1-4 single family</w:t>
            </w: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residential</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8"/>
        </w:trPr>
        <w:tc>
          <w:tcPr>
            <w:tcW w:w="13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Government insured</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residential</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43,707</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0" w:type="dxa"/>
            <w:vAlign w:val="bottom"/>
          </w:tcPr>
          <w:p>
            <w:pPr>
              <w:spacing w:after="0"/>
              <w:rPr>
                <w:sz w:val="1"/>
                <w:szCs w:val="1"/>
                <w:color w:val="auto"/>
              </w:rPr>
            </w:pPr>
          </w:p>
        </w:tc>
      </w:tr>
      <w:tr>
        <w:trPr>
          <w:trHeight w:val="190"/>
        </w:trPr>
        <w:tc>
          <w:tcPr>
            <w:tcW w:w="13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210,793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6" w:name="page107"/>
    <w:bookmarkEnd w:id="106"/>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Combination</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rPr>
              <w:t>Interest Rate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rPr>
              <w:t>Reduction and</w:t>
            </w:r>
          </w:p>
        </w:tc>
        <w:tc>
          <w:tcPr>
            <w:tcW w:w="124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rPr>
              <w:t>Term Extension and</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Interest Rate</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Other than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Interest Rate</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rPr>
              <w:t>Other than</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Other than</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vMerge w:val="restart"/>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 Modified in</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Insignificant</w:t>
            </w:r>
          </w:p>
        </w:tc>
        <w:tc>
          <w:tcPr>
            <w:tcW w:w="12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Reduction and Term</w:t>
            </w:r>
          </w:p>
        </w:tc>
        <w:tc>
          <w:tcPr>
            <w:tcW w:w="120" w:type="dxa"/>
            <w:vAlign w:val="bottom"/>
          </w:tcPr>
          <w:p>
            <w:pPr>
              <w:spacing w:after="0"/>
              <w:rPr>
                <w:sz w:val="10"/>
                <w:szCs w:val="10"/>
                <w:color w:val="auto"/>
              </w:rPr>
            </w:pPr>
          </w:p>
        </w:tc>
        <w:tc>
          <w:tcPr>
            <w:tcW w:w="11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2"/>
                <w:szCs w:val="12"/>
                <w:b w:val="1"/>
                <w:bCs w:val="1"/>
                <w:color w:val="auto"/>
              </w:rPr>
              <w:t>Insignificant</w:t>
            </w: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Insignificant</w:t>
            </w:r>
          </w:p>
        </w:tc>
        <w:tc>
          <w:tcPr>
            <w:tcW w:w="260" w:type="dxa"/>
            <w:vAlign w:val="bottom"/>
          </w:tcPr>
          <w:p>
            <w:pPr>
              <w:spacing w:after="0"/>
              <w:rPr>
                <w:sz w:val="10"/>
                <w:szCs w:val="10"/>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Reduction</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Payment Delays</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Extension</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Payment Delays</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Payment Delays</w:t>
            </w:r>
          </w:p>
        </w:tc>
        <w:tc>
          <w:tcPr>
            <w:tcW w:w="2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Portfolio Segment</w:t>
            </w:r>
          </w:p>
        </w:tc>
        <w:tc>
          <w:tcPr>
            <w:tcW w:w="0" w:type="dxa"/>
            <w:vAlign w:val="bottom"/>
          </w:tcPr>
          <w:p>
            <w:pPr>
              <w:spacing w:after="0"/>
              <w:rPr>
                <w:sz w:val="1"/>
                <w:szCs w:val="1"/>
                <w:color w:val="auto"/>
              </w:rPr>
            </w:pPr>
          </w:p>
        </w:tc>
      </w:tr>
      <w:tr>
        <w:trPr>
          <w:trHeight w:val="169"/>
        </w:trPr>
        <w:tc>
          <w:tcPr>
            <w:tcW w:w="1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44,070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40,200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84,270</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165"/>
        </w:trPr>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C&amp;I</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120,705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160,629</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0" w:type="dxa"/>
            <w:vAlign w:val="bottom"/>
          </w:tcPr>
          <w:p>
            <w:pPr>
              <w:spacing w:after="0"/>
              <w:rPr>
                <w:sz w:val="1"/>
                <w:szCs w:val="1"/>
                <w:color w:val="auto"/>
              </w:rPr>
            </w:pPr>
          </w:p>
        </w:tc>
      </w:tr>
      <w:tr>
        <w:trPr>
          <w:trHeight w:val="132"/>
        </w:trPr>
        <w:tc>
          <w:tcPr>
            <w:tcW w:w="13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Franchise and equipment</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finance</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6,994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0" w:type="dxa"/>
            <w:vAlign w:val="bottom"/>
          </w:tcPr>
          <w:p>
            <w:pPr>
              <w:spacing w:after="0"/>
              <w:rPr>
                <w:sz w:val="1"/>
                <w:szCs w:val="1"/>
                <w:color w:val="auto"/>
              </w:rPr>
            </w:pPr>
          </w:p>
        </w:tc>
      </w:tr>
      <w:tr>
        <w:trPr>
          <w:trHeight w:val="126"/>
        </w:trPr>
        <w:tc>
          <w:tcPr>
            <w:tcW w:w="130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1-4 single family</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residential</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Government insured</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residential</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33,423</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0" w:type="dxa"/>
            <w:vAlign w:val="bottom"/>
          </w:tcPr>
          <w:p>
            <w:pPr>
              <w:spacing w:after="0"/>
              <w:rPr>
                <w:sz w:val="1"/>
                <w:szCs w:val="1"/>
                <w:color w:val="auto"/>
              </w:rPr>
            </w:pPr>
          </w:p>
        </w:tc>
      </w:tr>
      <w:tr>
        <w:trPr>
          <w:trHeight w:val="158"/>
        </w:trPr>
        <w:tc>
          <w:tcPr>
            <w:tcW w:w="13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196,873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12,407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75,109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285,486</w:t>
            </w:r>
          </w:p>
        </w:tc>
        <w:tc>
          <w:tcPr>
            <w:tcW w:w="8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25"/>
        </w:trPr>
        <w:tc>
          <w:tcPr>
            <w:tcW w:w="1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financial effect of the modifications made to borrowers experiencing difficulty, during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60" w:type="dxa"/>
            <w:vAlign w:val="bottom"/>
          </w:tcPr>
          <w:p>
            <w:pPr>
              <w:spacing w:after="0"/>
              <w:rPr>
                <w:sz w:val="18"/>
                <w:szCs w:val="18"/>
                <w:color w:val="auto"/>
              </w:rPr>
            </w:pPr>
          </w:p>
        </w:tc>
        <w:tc>
          <w:tcPr>
            <w:tcW w:w="698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0" w:type="dxa"/>
            <w:vAlign w:val="bottom"/>
          </w:tcPr>
          <w:p>
            <w:pPr>
              <w:spacing w:after="0"/>
              <w:rPr>
                <w:sz w:val="1"/>
                <w:szCs w:val="1"/>
                <w:color w:val="auto"/>
              </w:rPr>
            </w:pPr>
          </w:p>
        </w:tc>
      </w:tr>
      <w:tr>
        <w:trPr>
          <w:trHeight w:val="205"/>
        </w:trPr>
        <w:tc>
          <w:tcPr>
            <w:tcW w:w="4260" w:type="dxa"/>
            <w:vAlign w:val="bottom"/>
            <w:tcBorders>
              <w:bottom w:val="single" w:sz="8" w:color="CCEEFF"/>
            </w:tcBorders>
          </w:tcPr>
          <w:p>
            <w:pPr>
              <w:spacing w:after="0"/>
              <w:rPr>
                <w:sz w:val="17"/>
                <w:szCs w:val="17"/>
                <w:color w:val="auto"/>
              </w:rPr>
            </w:pPr>
          </w:p>
        </w:tc>
        <w:tc>
          <w:tcPr>
            <w:tcW w:w="698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6"/>
                <w:szCs w:val="16"/>
                <w:b w:val="1"/>
                <w:bCs w:val="1"/>
                <w:color w:val="auto"/>
              </w:rPr>
              <w:t>Financial Effect</w:t>
            </w:r>
          </w:p>
        </w:tc>
        <w:tc>
          <w:tcPr>
            <w:tcW w:w="0" w:type="dxa"/>
            <w:vAlign w:val="bottom"/>
          </w:tcPr>
          <w:p>
            <w:pPr>
              <w:spacing w:after="0"/>
              <w:rPr>
                <w:sz w:val="1"/>
                <w:szCs w:val="1"/>
                <w:color w:val="auto"/>
              </w:rPr>
            </w:pPr>
          </w:p>
        </w:tc>
      </w:tr>
      <w:tr>
        <w:trPr>
          <w:trHeight w:val="19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Reduction:</w:t>
            </w:r>
          </w:p>
        </w:tc>
        <w:tc>
          <w:tcPr>
            <w:tcW w:w="6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 single family residential</w:t>
            </w: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Reduced weighted average contractual interest rate from 8.1% to 7.2%.</w:t>
            </w: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6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w:t>
            </w: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Added a weighted average 2.2 years to the term of the modified loans.</w:t>
            </w: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C&amp;I</w:t>
            </w: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Added a weighted average 1.1 years to the term of the modified loans.</w:t>
            </w:r>
          </w:p>
        </w:tc>
        <w:tc>
          <w:tcPr>
            <w:tcW w:w="0" w:type="dxa"/>
            <w:vAlign w:val="bottom"/>
          </w:tcPr>
          <w:p>
            <w:pPr>
              <w:spacing w:after="0"/>
              <w:rPr>
                <w:sz w:val="1"/>
                <w:szCs w:val="1"/>
                <w:color w:val="auto"/>
              </w:rPr>
            </w:pPr>
          </w:p>
        </w:tc>
      </w:tr>
      <w:tr>
        <w:trPr>
          <w:trHeight w:val="208"/>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insured residential</w:t>
            </w: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Added a weighted average 13.1 years to the term of the modified loans.</w:t>
            </w: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than Insignificant Payment Delays:</w:t>
            </w:r>
          </w:p>
        </w:tc>
        <w:tc>
          <w:tcPr>
            <w:tcW w:w="6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C&amp;I</w:t>
            </w: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Provided 0.8 year of payment deferral.</w:t>
            </w: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Combination - Interest Rate Reduction and Term Extension:</w:t>
            </w:r>
          </w:p>
        </w:tc>
        <w:tc>
          <w:tcPr>
            <w:tcW w:w="6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Government insured residential</w:t>
            </w:r>
          </w:p>
        </w:tc>
        <w:tc>
          <w:tcPr>
            <w:tcW w:w="69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Reduced weighted average contractual interest rate from 7.3% to 6.9% and added a weighted average 3.3</w:t>
            </w:r>
          </w:p>
        </w:tc>
        <w:tc>
          <w:tcPr>
            <w:tcW w:w="0" w:type="dxa"/>
            <w:vAlign w:val="bottom"/>
          </w:tcPr>
          <w:p>
            <w:pPr>
              <w:spacing w:after="0"/>
              <w:rPr>
                <w:sz w:val="1"/>
                <w:szCs w:val="1"/>
                <w:color w:val="auto"/>
              </w:rPr>
            </w:pPr>
          </w:p>
        </w:tc>
      </w:tr>
      <w:tr>
        <w:trPr>
          <w:trHeight w:val="208"/>
        </w:trPr>
        <w:tc>
          <w:tcPr>
            <w:tcW w:w="426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years to the term of the modified loans.</w:t>
            </w:r>
          </w:p>
        </w:tc>
        <w:tc>
          <w:tcPr>
            <w:tcW w:w="0" w:type="dxa"/>
            <w:vAlign w:val="bottom"/>
          </w:tcPr>
          <w:p>
            <w:pPr>
              <w:spacing w:after="0"/>
              <w:rPr>
                <w:sz w:val="1"/>
                <w:szCs w:val="1"/>
                <w:color w:val="auto"/>
              </w:rPr>
            </w:pPr>
          </w:p>
        </w:tc>
      </w:tr>
      <w:tr>
        <w:trPr>
          <w:trHeight w:val="160"/>
        </w:trPr>
        <w:tc>
          <w:tcPr>
            <w:tcW w:w="42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Combination - Interest Rate Reduction and Other than</w:t>
            </w:r>
          </w:p>
        </w:tc>
        <w:tc>
          <w:tcPr>
            <w:tcW w:w="6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Insignificant Payment Delays:</w:t>
            </w:r>
          </w:p>
        </w:tc>
        <w:tc>
          <w:tcPr>
            <w:tcW w:w="6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CRE</w:t>
            </w:r>
          </w:p>
        </w:tc>
        <w:tc>
          <w:tcPr>
            <w:tcW w:w="69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Reduced weighted average contractual interest rate from 4.3% to 3.5% and provided 0.7 year of payment</w:t>
            </w:r>
          </w:p>
        </w:tc>
        <w:tc>
          <w:tcPr>
            <w:tcW w:w="0" w:type="dxa"/>
            <w:vAlign w:val="bottom"/>
          </w:tcPr>
          <w:p>
            <w:pPr>
              <w:spacing w:after="0"/>
              <w:rPr>
                <w:sz w:val="1"/>
                <w:szCs w:val="1"/>
                <w:color w:val="auto"/>
              </w:rPr>
            </w:pPr>
          </w:p>
        </w:tc>
      </w:tr>
      <w:tr>
        <w:trPr>
          <w:trHeight w:val="208"/>
        </w:trPr>
        <w:tc>
          <w:tcPr>
            <w:tcW w:w="426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deferral.</w:t>
            </w:r>
          </w:p>
        </w:tc>
        <w:tc>
          <w:tcPr>
            <w:tcW w:w="0" w:type="dxa"/>
            <w:vAlign w:val="bottom"/>
          </w:tcPr>
          <w:p>
            <w:pPr>
              <w:spacing w:after="0"/>
              <w:rPr>
                <w:sz w:val="1"/>
                <w:szCs w:val="1"/>
                <w:color w:val="auto"/>
              </w:rPr>
            </w:pPr>
          </w:p>
        </w:tc>
      </w:tr>
      <w:tr>
        <w:trPr>
          <w:trHeight w:val="160"/>
        </w:trPr>
        <w:tc>
          <w:tcPr>
            <w:tcW w:w="42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Combination - Term Extension and Other than Insignificant</w:t>
            </w:r>
          </w:p>
        </w:tc>
        <w:tc>
          <w:tcPr>
            <w:tcW w:w="6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Delays:</w:t>
            </w:r>
          </w:p>
        </w:tc>
        <w:tc>
          <w:tcPr>
            <w:tcW w:w="6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C&amp;I</w:t>
            </w:r>
          </w:p>
        </w:tc>
        <w:tc>
          <w:tcPr>
            <w:tcW w:w="69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Added a weighted average 0.6 year to the term of the modified loans and provided 1.3 years of payment</w:t>
            </w:r>
          </w:p>
        </w:tc>
        <w:tc>
          <w:tcPr>
            <w:tcW w:w="0" w:type="dxa"/>
            <w:vAlign w:val="bottom"/>
          </w:tcPr>
          <w:p>
            <w:pPr>
              <w:spacing w:after="0"/>
              <w:rPr>
                <w:sz w:val="1"/>
                <w:szCs w:val="1"/>
                <w:color w:val="auto"/>
              </w:rPr>
            </w:pPr>
          </w:p>
        </w:tc>
      </w:tr>
      <w:tr>
        <w:trPr>
          <w:trHeight w:val="207"/>
        </w:trPr>
        <w:tc>
          <w:tcPr>
            <w:tcW w:w="4260" w:type="dxa"/>
            <w:vAlign w:val="bottom"/>
            <w:vMerge w:val="continue"/>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deferral.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07" w:name="page108"/>
    <w:bookmarkEnd w:id="107"/>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700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0" w:type="dxa"/>
            <w:vAlign w:val="bottom"/>
          </w:tcPr>
          <w:p>
            <w:pPr>
              <w:spacing w:after="0"/>
              <w:rPr>
                <w:sz w:val="1"/>
                <w:szCs w:val="1"/>
                <w:color w:val="auto"/>
              </w:rPr>
            </w:pPr>
          </w:p>
        </w:tc>
      </w:tr>
      <w:tr>
        <w:trPr>
          <w:trHeight w:val="205"/>
        </w:trPr>
        <w:tc>
          <w:tcPr>
            <w:tcW w:w="4240" w:type="dxa"/>
            <w:vAlign w:val="bottom"/>
            <w:tcBorders>
              <w:bottom w:val="single" w:sz="8" w:color="CCEEFF"/>
            </w:tcBorders>
          </w:tcPr>
          <w:p>
            <w:pPr>
              <w:spacing w:after="0"/>
              <w:rPr>
                <w:sz w:val="17"/>
                <w:szCs w:val="17"/>
                <w:color w:val="auto"/>
              </w:rPr>
            </w:pPr>
          </w:p>
        </w:tc>
        <w:tc>
          <w:tcPr>
            <w:tcW w:w="700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6"/>
                <w:szCs w:val="16"/>
                <w:b w:val="1"/>
                <w:bCs w:val="1"/>
                <w:color w:val="auto"/>
              </w:rPr>
              <w:t>Financial Effect</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Reduction:</w:t>
            </w:r>
          </w:p>
        </w:tc>
        <w:tc>
          <w:tcPr>
            <w:tcW w:w="7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 single family residential</w:t>
            </w: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Reduced weighted average contractual interest rate from 6.4% to 6.3%.</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insured residential</w:t>
            </w: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Reduced weighted average contractual interest rate from 3.3% to 2.8%.</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7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w:t>
            </w: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Added a weighted average 1.8 years to the term of the modified loans.</w:t>
            </w:r>
          </w:p>
        </w:tc>
        <w:tc>
          <w:tcPr>
            <w:tcW w:w="0" w:type="dxa"/>
            <w:vAlign w:val="bottom"/>
          </w:tcPr>
          <w:p>
            <w:pPr>
              <w:spacing w:after="0"/>
              <w:rPr>
                <w:sz w:val="1"/>
                <w:szCs w:val="1"/>
                <w:color w:val="auto"/>
              </w:rPr>
            </w:pPr>
          </w:p>
        </w:tc>
      </w:tr>
      <w:tr>
        <w:trPr>
          <w:trHeight w:val="208"/>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C&amp;I</w:t>
            </w: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Added a weighted average 1.4 years to the term of the modified loans.</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and equipment finance</w:t>
            </w: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Added a weighted average 1.0 year to the term of the modified loans.</w:t>
            </w:r>
          </w:p>
        </w:tc>
        <w:tc>
          <w:tcPr>
            <w:tcW w:w="0" w:type="dxa"/>
            <w:vAlign w:val="bottom"/>
          </w:tcPr>
          <w:p>
            <w:pPr>
              <w:spacing w:after="0"/>
              <w:rPr>
                <w:sz w:val="1"/>
                <w:szCs w:val="1"/>
                <w:color w:val="auto"/>
              </w:rPr>
            </w:pPr>
          </w:p>
        </w:tc>
      </w:tr>
      <w:tr>
        <w:trPr>
          <w:trHeight w:val="208"/>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insured residential</w:t>
            </w: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Added a weighted average 10.6 years to the term of the modified loans.</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than Insignificant Payment Delays:</w:t>
            </w:r>
          </w:p>
        </w:tc>
        <w:tc>
          <w:tcPr>
            <w:tcW w:w="7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C&amp;I</w:t>
            </w: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Provided 0.5 year of payment deferral.</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Combination - Interest Rate Reduction and Term Extension:</w:t>
            </w:r>
          </w:p>
        </w:tc>
        <w:tc>
          <w:tcPr>
            <w:tcW w:w="7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CRE</w:t>
            </w:r>
          </w:p>
        </w:tc>
        <w:tc>
          <w:tcPr>
            <w:tcW w:w="70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Reduced weighted average contractual interest rate from 7.3% to 6.5% and added a weighted average 2.0</w:t>
            </w:r>
          </w:p>
        </w:tc>
        <w:tc>
          <w:tcPr>
            <w:tcW w:w="0" w:type="dxa"/>
            <w:vAlign w:val="bottom"/>
          </w:tcPr>
          <w:p>
            <w:pPr>
              <w:spacing w:after="0"/>
              <w:rPr>
                <w:sz w:val="1"/>
                <w:szCs w:val="1"/>
                <w:color w:val="auto"/>
              </w:rPr>
            </w:pPr>
          </w:p>
        </w:tc>
      </w:tr>
      <w:tr>
        <w:trPr>
          <w:trHeight w:val="208"/>
        </w:trPr>
        <w:tc>
          <w:tcPr>
            <w:tcW w:w="4240" w:type="dxa"/>
            <w:vAlign w:val="bottom"/>
            <w:vMerge w:val="continue"/>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years to the term of the modified loans.</w:t>
            </w:r>
          </w:p>
        </w:tc>
        <w:tc>
          <w:tcPr>
            <w:tcW w:w="0" w:type="dxa"/>
            <w:vAlign w:val="bottom"/>
          </w:tcPr>
          <w:p>
            <w:pPr>
              <w:spacing w:after="0"/>
              <w:rPr>
                <w:sz w:val="1"/>
                <w:szCs w:val="1"/>
                <w:color w:val="auto"/>
              </w:rPr>
            </w:pPr>
          </w:p>
        </w:tc>
      </w:tr>
      <w:tr>
        <w:trPr>
          <w:trHeight w:val="160"/>
        </w:trPr>
        <w:tc>
          <w:tcPr>
            <w:tcW w:w="4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C&amp;I</w:t>
            </w:r>
          </w:p>
        </w:tc>
        <w:tc>
          <w:tcPr>
            <w:tcW w:w="70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Reduced weighted average contractual interest rate from 9.0% to 6.5% and added a weighted average 2.5</w:t>
            </w:r>
          </w:p>
        </w:tc>
        <w:tc>
          <w:tcPr>
            <w:tcW w:w="0" w:type="dxa"/>
            <w:vAlign w:val="bottom"/>
          </w:tcPr>
          <w:p>
            <w:pPr>
              <w:spacing w:after="0"/>
              <w:rPr>
                <w:sz w:val="1"/>
                <w:szCs w:val="1"/>
                <w:color w:val="auto"/>
              </w:rPr>
            </w:pPr>
          </w:p>
        </w:tc>
      </w:tr>
      <w:tr>
        <w:trPr>
          <w:trHeight w:val="210"/>
        </w:trPr>
        <w:tc>
          <w:tcPr>
            <w:tcW w:w="4240" w:type="dxa"/>
            <w:vAlign w:val="bottom"/>
            <w:vMerge w:val="continue"/>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years to the term of the modified loans.</w:t>
            </w:r>
          </w:p>
        </w:tc>
        <w:tc>
          <w:tcPr>
            <w:tcW w:w="0" w:type="dxa"/>
            <w:vAlign w:val="bottom"/>
          </w:tcPr>
          <w:p>
            <w:pPr>
              <w:spacing w:after="0"/>
              <w:rPr>
                <w:sz w:val="1"/>
                <w:szCs w:val="1"/>
                <w:color w:val="auto"/>
              </w:rPr>
            </w:pPr>
          </w:p>
        </w:tc>
      </w:tr>
      <w:tr>
        <w:trPr>
          <w:trHeight w:val="158"/>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Government insured residential</w:t>
            </w:r>
          </w:p>
        </w:tc>
        <w:tc>
          <w:tcPr>
            <w:tcW w:w="70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Reduced weighted average contractual interest rate from 7.2% to 6.5% and added a weighted average 5.3</w:t>
            </w:r>
          </w:p>
        </w:tc>
        <w:tc>
          <w:tcPr>
            <w:tcW w:w="0" w:type="dxa"/>
            <w:vAlign w:val="bottom"/>
          </w:tcPr>
          <w:p>
            <w:pPr>
              <w:spacing w:after="0"/>
              <w:rPr>
                <w:sz w:val="1"/>
                <w:szCs w:val="1"/>
                <w:color w:val="auto"/>
              </w:rPr>
            </w:pPr>
          </w:p>
        </w:tc>
      </w:tr>
      <w:tr>
        <w:trPr>
          <w:trHeight w:val="208"/>
        </w:trPr>
        <w:tc>
          <w:tcPr>
            <w:tcW w:w="4240" w:type="dxa"/>
            <w:vAlign w:val="bottom"/>
            <w:vMerge w:val="continue"/>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years to the term of the modified loans.</w:t>
            </w:r>
          </w:p>
        </w:tc>
        <w:tc>
          <w:tcPr>
            <w:tcW w:w="0" w:type="dxa"/>
            <w:vAlign w:val="bottom"/>
          </w:tcPr>
          <w:p>
            <w:pPr>
              <w:spacing w:after="0"/>
              <w:rPr>
                <w:sz w:val="1"/>
                <w:szCs w:val="1"/>
                <w:color w:val="auto"/>
              </w:rPr>
            </w:pPr>
          </w:p>
        </w:tc>
      </w:tr>
      <w:tr>
        <w:trPr>
          <w:trHeight w:val="160"/>
        </w:trPr>
        <w:tc>
          <w:tcPr>
            <w:tcW w:w="4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Combination - Term Extension and Other than Insignificant</w:t>
            </w:r>
          </w:p>
        </w:tc>
        <w:tc>
          <w:tcPr>
            <w:tcW w:w="7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Delays:</w:t>
            </w:r>
          </w:p>
        </w:tc>
        <w:tc>
          <w:tcPr>
            <w:tcW w:w="7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C&amp;I</w:t>
            </w:r>
          </w:p>
        </w:tc>
        <w:tc>
          <w:tcPr>
            <w:tcW w:w="70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Added a weighted average 1.2 years to the term of the modified loans and provided 0.3 year of payment</w:t>
            </w:r>
          </w:p>
        </w:tc>
        <w:tc>
          <w:tcPr>
            <w:tcW w:w="0" w:type="dxa"/>
            <w:vAlign w:val="bottom"/>
          </w:tcPr>
          <w:p>
            <w:pPr>
              <w:spacing w:after="0"/>
              <w:rPr>
                <w:sz w:val="1"/>
                <w:szCs w:val="1"/>
                <w:color w:val="auto"/>
              </w:rPr>
            </w:pPr>
          </w:p>
        </w:tc>
      </w:tr>
      <w:tr>
        <w:trPr>
          <w:trHeight w:val="207"/>
        </w:trPr>
        <w:tc>
          <w:tcPr>
            <w:tcW w:w="4240" w:type="dxa"/>
            <w:vAlign w:val="bottom"/>
            <w:vMerge w:val="continue"/>
          </w:tcPr>
          <w:p>
            <w:pPr>
              <w:spacing w:after="0"/>
              <w:rPr>
                <w:sz w:val="17"/>
                <w:szCs w:val="17"/>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deferral.</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the aging at the dates indicated, of loans that were modified within the previous 12 months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12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30-59 Days Past</w:t>
            </w:r>
          </w:p>
        </w:tc>
        <w:tc>
          <w:tcPr>
            <w:tcW w:w="100" w:type="dxa"/>
            <w:vAlign w:val="bottom"/>
          </w:tcPr>
          <w:p>
            <w:pPr>
              <w:spacing w:after="0"/>
              <w:rPr>
                <w:sz w:val="10"/>
                <w:szCs w:val="10"/>
                <w:color w:val="auto"/>
              </w:rPr>
            </w:pPr>
          </w:p>
        </w:tc>
        <w:tc>
          <w:tcPr>
            <w:tcW w:w="122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60-89 Days Past</w:t>
            </w:r>
          </w:p>
        </w:tc>
        <w:tc>
          <w:tcPr>
            <w:tcW w:w="122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90 Days or More</w:t>
            </w:r>
          </w:p>
        </w:tc>
        <w:tc>
          <w:tcPr>
            <w:tcW w:w="260" w:type="dxa"/>
            <w:vAlign w:val="bottom"/>
          </w:tcPr>
          <w:p>
            <w:pPr>
              <w:spacing w:after="0"/>
              <w:rPr>
                <w:sz w:val="10"/>
                <w:szCs w:val="10"/>
                <w:color w:val="auto"/>
              </w:rPr>
            </w:pPr>
          </w:p>
        </w:tc>
        <w:tc>
          <w:tcPr>
            <w:tcW w:w="8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Past Due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107,726</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59,239</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single family residential</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Government insured residential</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43,707</w:t>
            </w:r>
          </w:p>
        </w:tc>
        <w:tc>
          <w:tcPr>
            <w:tcW w:w="0" w:type="dxa"/>
            <w:vAlign w:val="bottom"/>
          </w:tcPr>
          <w:p>
            <w:pPr>
              <w:spacing w:after="0"/>
              <w:rPr>
                <w:sz w:val="1"/>
                <w:szCs w:val="1"/>
                <w:color w:val="auto"/>
              </w:rPr>
            </w:pPr>
          </w:p>
        </w:tc>
      </w:tr>
      <w:tr>
        <w:trPr>
          <w:trHeight w:val="242"/>
        </w:trPr>
        <w:tc>
          <w:tcPr>
            <w:tcW w:w="5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210,792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1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30-59 Days Past</w:t>
            </w:r>
          </w:p>
        </w:tc>
        <w:tc>
          <w:tcPr>
            <w:tcW w:w="100" w:type="dxa"/>
            <w:vAlign w:val="bottom"/>
          </w:tcPr>
          <w:p>
            <w:pPr>
              <w:spacing w:after="0"/>
              <w:rPr>
                <w:sz w:val="10"/>
                <w:szCs w:val="10"/>
                <w:color w:val="auto"/>
              </w:rPr>
            </w:pPr>
          </w:p>
        </w:tc>
        <w:tc>
          <w:tcPr>
            <w:tcW w:w="122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60-89 Days Past</w:t>
            </w:r>
          </w:p>
        </w:tc>
        <w:tc>
          <w:tcPr>
            <w:tcW w:w="122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90 Days or More</w:t>
            </w:r>
          </w:p>
        </w:tc>
        <w:tc>
          <w:tcPr>
            <w:tcW w:w="260" w:type="dxa"/>
            <w:vAlign w:val="bottom"/>
          </w:tcPr>
          <w:p>
            <w:pPr>
              <w:spacing w:after="0"/>
              <w:rPr>
                <w:sz w:val="10"/>
                <w:szCs w:val="10"/>
                <w:color w:val="auto"/>
              </w:rPr>
            </w:pPr>
          </w:p>
        </w:tc>
        <w:tc>
          <w:tcPr>
            <w:tcW w:w="8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Past Due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84,270</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160,629</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and equipment finance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 single family residential</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insured residential</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33,423</w:t>
            </w:r>
          </w:p>
        </w:tc>
        <w:tc>
          <w:tcPr>
            <w:tcW w:w="0" w:type="dxa"/>
            <w:vAlign w:val="bottom"/>
          </w:tcPr>
          <w:p>
            <w:pPr>
              <w:spacing w:after="0"/>
              <w:rPr>
                <w:sz w:val="1"/>
                <w:szCs w:val="1"/>
                <w:color w:val="auto"/>
              </w:rPr>
            </w:pPr>
          </w:p>
        </w:tc>
      </w:tr>
      <w:tr>
        <w:trPr>
          <w:trHeight w:val="217"/>
        </w:trPr>
        <w:tc>
          <w:tcPr>
            <w:tcW w:w="52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244,682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285,486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9"/>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9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8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8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9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8" w:name="page109"/>
    <w:bookmarkEnd w:id="108"/>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 loans that were modified within the previous 12 months and defaulted during the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than</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100" w:type="dxa"/>
            <w:vAlign w:val="bottom"/>
            <w:tcBorders>
              <w:top w:val="single" w:sz="8" w:color="auto"/>
            </w:tcBorders>
            <w:gridSpan w:val="2"/>
          </w:tcPr>
          <w:p>
            <w:pPr>
              <w:jc w:val="right"/>
              <w:ind w:right="4"/>
              <w:spacing w:after="0" w:line="133" w:lineRule="exact"/>
              <w:rPr>
                <w:sz w:val="20"/>
                <w:szCs w:val="20"/>
                <w:color w:val="auto"/>
              </w:rPr>
            </w:pPr>
            <w:r>
              <w:rPr>
                <w:rFonts w:ascii="Times New Roman" w:cs="Times New Roman" w:eastAsia="Times New Roman" w:hAnsi="Times New Roman"/>
                <w:sz w:val="14"/>
                <w:szCs w:val="14"/>
                <w:b w:val="1"/>
                <w:bCs w:val="1"/>
                <w:color w:val="auto"/>
              </w:rPr>
              <w:t>Term Extension</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Term Extension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Reduction and</w:t>
            </w:r>
          </w:p>
        </w:tc>
        <w:tc>
          <w:tcPr>
            <w:tcW w:w="1180" w:type="dxa"/>
            <w:vAlign w:val="bottom"/>
            <w:gridSpan w:val="3"/>
          </w:tcPr>
          <w:p>
            <w:pPr>
              <w:jc w:val="right"/>
              <w:ind w:right="160"/>
              <w:spacing w:after="0" w:line="143" w:lineRule="exact"/>
              <w:rPr>
                <w:sz w:val="20"/>
                <w:szCs w:val="20"/>
                <w:color w:val="auto"/>
              </w:rPr>
            </w:pPr>
            <w:r>
              <w:rPr>
                <w:rFonts w:ascii="Times New Roman" w:cs="Times New Roman" w:eastAsia="Times New Roman" w:hAnsi="Times New Roman"/>
                <w:sz w:val="14"/>
                <w:szCs w:val="14"/>
                <w:b w:val="1"/>
                <w:bCs w:val="1"/>
                <w:color w:val="auto"/>
              </w:rPr>
              <w:t>and Other than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94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Reduction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and Other than</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Insignificant</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40" w:type="dxa"/>
            <w:vAlign w:val="bottom"/>
          </w:tcPr>
          <w:p>
            <w:pPr>
              <w:spacing w:after="0"/>
              <w:rPr>
                <w:sz w:val="12"/>
                <w:szCs w:val="12"/>
                <w:color w:val="auto"/>
              </w:rPr>
            </w:pPr>
          </w:p>
        </w:tc>
        <w:tc>
          <w:tcPr>
            <w:tcW w:w="10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Insignificant</w:t>
            </w:r>
          </w:p>
        </w:tc>
        <w:tc>
          <w:tcPr>
            <w:tcW w:w="22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6"/>
              <w:spacing w:after="0" w:line="145"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Insignificant</w:t>
            </w:r>
          </w:p>
        </w:tc>
        <w:tc>
          <w:tcPr>
            <w:tcW w:w="200" w:type="dxa"/>
            <w:vAlign w:val="bottom"/>
          </w:tcPr>
          <w:p>
            <w:pPr>
              <w:spacing w:after="0"/>
              <w:rPr>
                <w:sz w:val="12"/>
                <w:szCs w:val="12"/>
                <w:color w:val="auto"/>
              </w:rPr>
            </w:pP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Payment Delays</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Payment Delays</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Extension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Payment Delays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16,450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16,450</w:t>
            </w:r>
          </w:p>
        </w:tc>
        <w:tc>
          <w:tcPr>
            <w:tcW w:w="0" w:type="dxa"/>
            <w:vAlign w:val="bottom"/>
          </w:tcPr>
          <w:p>
            <w:pPr>
              <w:spacing w:after="0"/>
              <w:rPr>
                <w:sz w:val="1"/>
                <w:szCs w:val="1"/>
                <w:color w:val="auto"/>
              </w:rPr>
            </w:pPr>
          </w:p>
        </w:tc>
      </w:tr>
      <w:tr>
        <w:trPr>
          <w:trHeight w:val="208"/>
        </w:trPr>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C&amp;I</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0" w:type="dxa"/>
            <w:vAlign w:val="bottom"/>
          </w:tcPr>
          <w:p>
            <w:pPr>
              <w:spacing w:after="0"/>
              <w:rPr>
                <w:sz w:val="1"/>
                <w:szCs w:val="1"/>
                <w:color w:val="auto"/>
              </w:rPr>
            </w:pPr>
          </w:p>
        </w:tc>
      </w:tr>
      <w:tr>
        <w:trPr>
          <w:trHeight w:val="160"/>
        </w:trPr>
        <w:tc>
          <w:tcPr>
            <w:tcW w:w="14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Government insured</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8,553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13,835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18,578</w:t>
            </w: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8,553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31,675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37,107</w:t>
            </w: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Concentrations</w:t>
      </w:r>
    </w:p>
    <w:p>
      <w:pPr>
        <w:spacing w:after="0" w:line="150" w:lineRule="exact"/>
        <w:rPr>
          <w:sz w:val="20"/>
          <w:szCs w:val="20"/>
          <w:color w:val="auto"/>
        </w:rPr>
      </w:pPr>
    </w:p>
    <w:p>
      <w:pPr>
        <w:jc w:val="both"/>
        <w:ind w:right="60" w:firstLine="315"/>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largest geographic concentrations of commercial loans at the dates indicated. Commercial real estate loans are categorized based on the location of the underlying collateral, while all other commercial loans are generally categorized based on the location of the borrowers' businesses (dollars in thousands). Loans outside of Florida and the New York tri-state area evidence no material geographic concentration.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48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480" w:type="dxa"/>
            <w:vAlign w:val="bottom"/>
          </w:tcPr>
          <w:p>
            <w:pPr>
              <w:spacing w:after="0"/>
              <w:rPr>
                <w:sz w:val="10"/>
                <w:szCs w:val="10"/>
                <w:color w:val="auto"/>
              </w:rPr>
            </w:pPr>
          </w:p>
        </w:tc>
        <w:tc>
          <w:tcPr>
            <w:tcW w:w="122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Commercial Real</w:t>
            </w: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60" w:type="dxa"/>
            <w:vAlign w:val="bottom"/>
          </w:tcPr>
          <w:p>
            <w:pPr>
              <w:spacing w:after="0"/>
              <w:rPr>
                <w:sz w:val="10"/>
                <w:szCs w:val="10"/>
                <w:color w:val="auto"/>
              </w:rPr>
            </w:pPr>
          </w:p>
        </w:tc>
        <w:tc>
          <w:tcPr>
            <w:tcW w:w="114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22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Commercial Real</w:t>
            </w: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60" w:type="dxa"/>
            <w:vAlign w:val="bottom"/>
          </w:tcPr>
          <w:p>
            <w:pPr>
              <w:spacing w:after="0"/>
              <w:rPr>
                <w:sz w:val="10"/>
                <w:szCs w:val="10"/>
                <w:color w:val="auto"/>
              </w:rPr>
            </w:pPr>
          </w:p>
        </w:tc>
        <w:tc>
          <w:tcPr>
            <w:tcW w:w="114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Commercial</w:t>
            </w: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3,308,493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3,050,330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3,360,524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3,095,579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0" w:type="dxa"/>
            <w:vAlign w:val="bottom"/>
          </w:tcPr>
          <w:p>
            <w:pPr>
              <w:spacing w:after="0"/>
              <w:rPr>
                <w:sz w:val="1"/>
                <w:szCs w:val="1"/>
                <w:color w:val="auto"/>
              </w:rPr>
            </w:pPr>
          </w:p>
        </w:tc>
      </w:tr>
      <w:tr>
        <w:trPr>
          <w:trHeight w:val="223"/>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Tri-state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1,481,871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3,453,607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1,564,104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3,194,833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2,020,507</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3,975,899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1,289,564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4,212,562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6,810,871</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10,479,836</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6,214,192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10,502,974</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right="6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five states with the largest geographic concentrations of 1-4 single family residential loans, excluding government insured residential loans, at the dates indicated (dollars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2760" w:type="dxa"/>
            <w:vAlign w:val="bottom"/>
            <w:gridSpan w:val="3"/>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0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Percent of Total</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1,812,330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1,960,873</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1,226,041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1,282,197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431,936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473,556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286,358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2,027,795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2,155,814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42"/>
        </w:trPr>
        <w:tc>
          <w:tcPr>
            <w:tcW w:w="5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6,091,959</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6,508,922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853"/>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7"/>
        </w:trPr>
        <w:tc>
          <w:tcPr>
            <w:tcW w:w="536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12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3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09" w:name="page110"/>
    <w:bookmarkEnd w:id="109"/>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under which the Company is the lessee</w:t>
      </w:r>
    </w:p>
    <w:p>
      <w:pPr>
        <w:spacing w:after="0" w:line="137" w:lineRule="exact"/>
        <w:rPr>
          <w:sz w:val="20"/>
          <w:szCs w:val="20"/>
          <w:color w:val="auto"/>
        </w:rPr>
      </w:pPr>
    </w:p>
    <w:p>
      <w:pPr>
        <w:ind w:right="180" w:firstLine="315"/>
        <w:spacing w:after="0" w:line="268" w:lineRule="auto"/>
        <w:rPr>
          <w:sz w:val="20"/>
          <w:szCs w:val="20"/>
          <w:color w:val="auto"/>
        </w:rPr>
      </w:pPr>
      <w:r>
        <w:rPr>
          <w:rFonts w:ascii="Times New Roman" w:cs="Times New Roman" w:eastAsia="Times New Roman" w:hAnsi="Times New Roman"/>
          <w:sz w:val="18"/>
          <w:szCs w:val="18"/>
          <w:color w:val="auto"/>
        </w:rPr>
        <w:t>The Company leases branches, office space and a small amount of equipment under either operating or finance leases with remaining terms ranging from one to 11 years, some of which include extension options.</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ROU assets and lease liabilities at the dates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6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3"/>
        </w:trPr>
        <w:tc>
          <w:tcPr>
            <w:tcW w:w="74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ROU assets:</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23"/>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64,416</w:t>
            </w:r>
          </w:p>
        </w:tc>
      </w:tr>
      <w:tr>
        <w:trPr>
          <w:trHeight w:val="223"/>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w:t>
            </w:r>
          </w:p>
        </w:tc>
      </w:tr>
      <w:tr>
        <w:trPr>
          <w:trHeight w:val="217"/>
        </w:trPr>
        <w:tc>
          <w:tcPr>
            <w:tcW w:w="744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84,706</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0"/>
        </w:trPr>
        <w:tc>
          <w:tcPr>
            <w:tcW w:w="7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23"/>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65,368</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71,979</w:t>
            </w:r>
          </w:p>
        </w:tc>
      </w:tr>
      <w:tr>
        <w:trPr>
          <w:trHeight w:val="223"/>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24,629</w:t>
            </w:r>
          </w:p>
        </w:tc>
      </w:tr>
      <w:tr>
        <w:trPr>
          <w:trHeight w:val="217"/>
        </w:trPr>
        <w:tc>
          <w:tcPr>
            <w:tcW w:w="744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96,608</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280" w:firstLine="315"/>
        <w:spacing w:after="0" w:line="331" w:lineRule="auto"/>
        <w:rPr>
          <w:sz w:val="20"/>
          <w:szCs w:val="20"/>
          <w:color w:val="auto"/>
        </w:rPr>
      </w:pPr>
      <w:r>
        <w:rPr>
          <w:rFonts w:ascii="Times New Roman" w:cs="Times New Roman" w:eastAsia="Times New Roman" w:hAnsi="Times New Roman"/>
          <w:sz w:val="16"/>
          <w:szCs w:val="16"/>
          <w:color w:val="auto"/>
        </w:rPr>
        <w:t>ROU assets and lease liabilities for operating leases are included in "other assets" and "other liabilities", respectively, in the accompanying consolidated balance sheets. ROU assets and lease liabilities for finance leases are included in "other assets" and "notes and other borrowings", respectively.</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at the dates indicated were: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55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3"/>
        </w:trPr>
        <w:tc>
          <w:tcPr>
            <w:tcW w:w="55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 years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years</w:t>
            </w:r>
          </w:p>
        </w:tc>
      </w:tr>
      <w:tr>
        <w:trPr>
          <w:trHeight w:val="223"/>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 years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years</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3"/>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8"/>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442"/>
        </w:trPr>
        <w:tc>
          <w:tcPr>
            <w:tcW w:w="75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w w:val="97"/>
              </w:rPr>
              <w:t>The following table presents the components of lease expense for the periods indicated (in thousands):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2"/>
        </w:trPr>
        <w:tc>
          <w:tcPr>
            <w:tcW w:w="5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
        </w:trPr>
        <w:tc>
          <w:tcPr>
            <w:tcW w:w="5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4"/>
        </w:trPr>
        <w:tc>
          <w:tcPr>
            <w:tcW w:w="55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costs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16,624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16,761</w:t>
            </w:r>
          </w:p>
        </w:tc>
      </w:tr>
      <w:tr>
        <w:trPr>
          <w:trHeight w:val="223"/>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ROU assets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16,324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16,678</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16,837</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9"/>
        </w:trPr>
        <w:tc>
          <w:tcPr>
            <w:tcW w:w="5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3"/>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23"/>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4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2,974</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5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4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Short-term lease costs were immaterial for the years ended December 31, 2025, 2024 and 2023.</w:t>
      </w: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10" w:name="page111"/>
    <w:bookmarkEnd w:id="110"/>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additional information related to operating and finance leases for the dates and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23"/>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42"/>
        </w:trPr>
        <w:tc>
          <w:tcPr>
            <w:tcW w:w="67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20,089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6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recognized from obtaining ROU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w:t>
            </w:r>
          </w:p>
        </w:tc>
      </w:tr>
      <w:tr>
        <w:trPr>
          <w:trHeight w:val="22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780" w:type="dxa"/>
            <w:vAlign w:val="bottom"/>
          </w:tcPr>
          <w:p>
            <w:pPr>
              <w:spacing w:after="0"/>
              <w:rPr>
                <w:sz w:val="18"/>
                <w:szCs w:val="18"/>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r>
      <w:tr>
        <w:trPr>
          <w:trHeight w:val="20"/>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320" w:firstLine="315"/>
        <w:spacing w:after="0" w:line="268" w:lineRule="auto"/>
        <w:rPr>
          <w:sz w:val="20"/>
          <w:szCs w:val="20"/>
          <w:color w:val="auto"/>
        </w:rPr>
      </w:pPr>
      <w:r>
        <w:rPr>
          <w:rFonts w:ascii="Times New Roman" w:cs="Times New Roman" w:eastAsia="Times New Roman" w:hAnsi="Times New Roman"/>
          <w:sz w:val="18"/>
          <w:szCs w:val="18"/>
          <w:color w:val="auto"/>
        </w:rPr>
        <w:t>Future lease payment obligations under leases with terms in excess of one year and a reconciliation to lease liabilities as of December 31, 2025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3"/>
        </w:trPr>
        <w:tc>
          <w:tcPr>
            <w:tcW w:w="66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Years ending December 31:</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14,707</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25,386</w:t>
            </w:r>
          </w:p>
        </w:tc>
      </w:tr>
      <w:tr>
        <w:trPr>
          <w:trHeight w:val="217"/>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98,786</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interest component</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r>
      <w:tr>
        <w:trPr>
          <w:trHeight w:val="217"/>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88,251</w:t>
            </w: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center"/>
        <w:ind w:right="7780"/>
        <w:spacing w:after="0"/>
        <w:rPr>
          <w:sz w:val="20"/>
          <w:szCs w:val="20"/>
          <w:color w:val="auto"/>
        </w:rPr>
      </w:pPr>
      <w:r>
        <w:rPr>
          <w:rFonts w:ascii="Times New Roman" w:cs="Times New Roman" w:eastAsia="Times New Roman" w:hAnsi="Times New Roman"/>
          <w:sz w:val="16"/>
          <w:szCs w:val="16"/>
          <w:b w:val="1"/>
          <w:bCs w:val="1"/>
          <w:color w:val="auto"/>
        </w:rPr>
        <w:t>Leases under which the Company is the lessor</w:t>
      </w: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Direct or Sales Type Financing Leases</w:t>
      </w:r>
    </w:p>
    <w:p>
      <w:pPr>
        <w:spacing w:after="0" w:line="139" w:lineRule="exact"/>
        <w:rPr>
          <w:sz w:val="20"/>
          <w:szCs w:val="20"/>
          <w:color w:val="auto"/>
        </w:rPr>
      </w:pPr>
    </w:p>
    <w:p>
      <w:pPr>
        <w:ind w:right="10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components of the investment in direct or sales type financing leases, included in loans in the consolidated balance sheets at the dates indicated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48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 to be received</w:t>
            </w: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unguaranteed residual value of leased assets</w:t>
            </w:r>
          </w:p>
        </w:tc>
        <w:tc>
          <w:tcPr>
            <w:tcW w:w="28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investment in direct or sales type financing leases</w:t>
            </w: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direct costs</w:t>
            </w:r>
          </w:p>
        </w:tc>
        <w:tc>
          <w:tcPr>
            <w:tcW w:w="28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380,647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0" w:type="dxa"/>
            <w:vAlign w:val="bottom"/>
            <w:vMerge w:val="restart"/>
          </w:tcPr>
          <w:p>
            <w:pPr>
              <w:jc w:val="right"/>
              <w:ind w:right="1652"/>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48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9A9A9A"/>
            </w:tcBorders>
          </w:tcPr>
          <w:p>
            <w:pPr>
              <w:spacing w:after="0"/>
              <w:rPr>
                <w:sz w:val="22"/>
                <w:szCs w:val="22"/>
                <w:color w:val="auto"/>
              </w:rPr>
            </w:pPr>
          </w:p>
        </w:tc>
        <w:tc>
          <w:tcPr>
            <w:tcW w:w="280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52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5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1" w:name="page112"/>
    <w:bookmarkEnd w:id="111"/>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2025, future minimum lease payments to be received under direct or sales type financing leases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142,505</w:t>
            </w:r>
          </w:p>
        </w:tc>
      </w:tr>
      <w:tr>
        <w:trPr>
          <w:trHeight w:val="22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89,788</w:t>
            </w:r>
          </w:p>
        </w:tc>
      </w:tr>
      <w:tr>
        <w:trPr>
          <w:trHeight w:val="223"/>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60,168</w:t>
            </w:r>
          </w:p>
        </w:tc>
      </w:tr>
      <w:tr>
        <w:trPr>
          <w:trHeight w:val="22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26,246</w:t>
            </w:r>
          </w:p>
        </w:tc>
      </w:tr>
      <w:tr>
        <w:trPr>
          <w:trHeight w:val="223"/>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19,387</w:t>
            </w:r>
          </w:p>
        </w:tc>
      </w:tr>
      <w:tr>
        <w:trPr>
          <w:trHeight w:val="22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65,737</w:t>
            </w:r>
          </w:p>
        </w:tc>
      </w:tr>
      <w:tr>
        <w:trPr>
          <w:trHeight w:val="217"/>
        </w:trPr>
        <w:tc>
          <w:tcPr>
            <w:tcW w:w="9320" w:type="dxa"/>
            <w:vAlign w:val="bottom"/>
          </w:tcPr>
          <w:p>
            <w:pPr>
              <w:spacing w:after="0"/>
              <w:rPr>
                <w:sz w:val="18"/>
                <w:szCs w:val="18"/>
                <w:color w:val="auto"/>
              </w:rPr>
            </w:pPr>
          </w:p>
        </w:tc>
        <w:tc>
          <w:tcPr>
            <w:tcW w:w="7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403,831</w:t>
            </w:r>
          </w:p>
        </w:tc>
      </w:tr>
      <w:tr>
        <w:trPr>
          <w:trHeight w:val="20"/>
        </w:trPr>
        <w:tc>
          <w:tcPr>
            <w:tcW w:w="9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Equipment</w:t>
      </w:r>
    </w:p>
    <w:p>
      <w:pPr>
        <w:spacing w:after="0" w:line="152" w:lineRule="exact"/>
        <w:rPr>
          <w:sz w:val="20"/>
          <w:szCs w:val="20"/>
          <w:color w:val="auto"/>
        </w:rPr>
      </w:pPr>
    </w:p>
    <w:p>
      <w:pPr>
        <w:ind w:firstLine="315"/>
        <w:spacing w:after="0" w:line="249" w:lineRule="auto"/>
        <w:rPr>
          <w:sz w:val="20"/>
          <w:szCs w:val="20"/>
          <w:color w:val="auto"/>
        </w:rPr>
      </w:pPr>
      <w:r>
        <w:rPr>
          <w:rFonts w:ascii="Times New Roman" w:cs="Times New Roman" w:eastAsia="Times New Roman" w:hAnsi="Times New Roman"/>
          <w:sz w:val="18"/>
          <w:szCs w:val="18"/>
          <w:color w:val="auto"/>
        </w:rPr>
        <w:t>Operating lease equipment consists primarily of railcars, non-commercial aircraft and other transportation equipment leased to commercial end users. Original lease terms generally range from three to fifteen years. Asset risk is evaluated and managed by a dedicated internal staff of seasoned equipment finance professionals. The Company has partnered with an industry leading, experienced service provider who provides fleet management and servicing relating to the railcar fleet. Residual risk is managed by setting appropriate residual values at inception and systematic reviews of residual values based on independent appraisals, performed at least annually.</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components of operating lease equipment at the dates indicated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271,187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9"/>
              </w:rPr>
              <w:t>339,165</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7"/>
              </w:rPr>
              <w:t>(99,816)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617"/>
              <w:spacing w:after="0"/>
              <w:rPr>
                <w:sz w:val="20"/>
                <w:szCs w:val="20"/>
                <w:color w:val="auto"/>
              </w:rPr>
            </w:pPr>
            <w:r>
              <w:rPr>
                <w:rFonts w:ascii="Times New Roman" w:cs="Times New Roman" w:eastAsia="Times New Roman" w:hAnsi="Times New Roman"/>
                <w:sz w:val="18"/>
                <w:szCs w:val="18"/>
                <w:color w:val="auto"/>
                <w:w w:val="96"/>
              </w:rPr>
              <w:t>(115,321)</w:t>
            </w:r>
          </w:p>
        </w:tc>
      </w:tr>
      <w:tr>
        <w:trPr>
          <w:trHeight w:val="242"/>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171,371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9"/>
              </w:rPr>
              <w:t>223,844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recognize any impairment of operating lease equipment during the years ended December 31, 2025, 2024 and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 December 31, 2025, scheduled minimum rental payments under operating leases were as follows (in thousands):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1"/>
        </w:trPr>
        <w:tc>
          <w:tcPr>
            <w:tcW w:w="9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3"/>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r>
      <w:tr>
        <w:trPr>
          <w:trHeight w:val="223"/>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w:t>
            </w:r>
          </w:p>
        </w:tc>
      </w:tr>
      <w:tr>
        <w:trPr>
          <w:trHeight w:val="22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w:t>
            </w:r>
          </w:p>
        </w:tc>
      </w:tr>
      <w:tr>
        <w:trPr>
          <w:trHeight w:val="223"/>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r>
      <w:tr>
        <w:trPr>
          <w:trHeight w:val="22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r>
      <w:tr>
        <w:trPr>
          <w:trHeight w:val="223"/>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r>
      <w:tr>
        <w:trPr>
          <w:trHeight w:val="217"/>
        </w:trPr>
        <w:tc>
          <w:tcPr>
            <w:tcW w:w="982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45,211</w:t>
            </w:r>
          </w:p>
        </w:tc>
      </w:tr>
      <w:tr>
        <w:trPr>
          <w:trHeight w:val="20"/>
        </w:trPr>
        <w:tc>
          <w:tcPr>
            <w:tcW w:w="9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income recognized for operating and direct or sales type finance leases for the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Location of Lease Income on Consolidated Statements of Income</w:t>
            </w:r>
          </w:p>
        </w:tc>
        <w:tc>
          <w:tcPr>
            <w:tcW w:w="0" w:type="dxa"/>
            <w:vAlign w:val="bottom"/>
          </w:tcPr>
          <w:p>
            <w:pPr>
              <w:spacing w:after="0"/>
              <w:rPr>
                <w:sz w:val="1"/>
                <w:szCs w:val="1"/>
                <w:color w:val="auto"/>
              </w:rPr>
            </w:pPr>
          </w:p>
        </w:tc>
      </w:tr>
      <w:tr>
        <w:trPr>
          <w:trHeight w:val="184"/>
        </w:trPr>
        <w:tc>
          <w:tcPr>
            <w:tcW w:w="3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47,868</w:t>
            </w:r>
          </w:p>
        </w:tc>
        <w:tc>
          <w:tcPr>
            <w:tcW w:w="100" w:type="dxa"/>
            <w:vAlign w:val="bottom"/>
            <w:shd w:val="clear" w:color="auto" w:fill="CCEEFF"/>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 from lease financing</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or sales type finance leases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15,643</w:t>
            </w:r>
          </w:p>
        </w:tc>
        <w:tc>
          <w:tcPr>
            <w:tcW w:w="10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on loans</w:t>
            </w:r>
          </w:p>
        </w:tc>
        <w:tc>
          <w:tcPr>
            <w:tcW w:w="0" w:type="dxa"/>
            <w:vAlign w:val="bottom"/>
          </w:tcPr>
          <w:p>
            <w:pPr>
              <w:spacing w:after="0"/>
              <w:rPr>
                <w:sz w:val="1"/>
                <w:szCs w:val="1"/>
                <w:color w:val="auto"/>
              </w:rPr>
            </w:pPr>
          </w:p>
        </w:tc>
      </w:tr>
      <w:tr>
        <w:trPr>
          <w:trHeight w:val="242"/>
        </w:trPr>
        <w:tc>
          <w:tcPr>
            <w:tcW w:w="3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63,511</w:t>
            </w:r>
          </w:p>
        </w:tc>
        <w:tc>
          <w:tcPr>
            <w:tcW w:w="10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8"/>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90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2" w:name="page113"/>
    <w:bookmarkEnd w:id="112"/>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6"/>
          <w:szCs w:val="16"/>
          <w:b w:val="1"/>
          <w:bCs w:val="1"/>
          <w:color w:val="auto"/>
        </w:rPr>
        <w:t>Deposits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average balances and weighted average rates paid on deposits for the periods indicated (dollars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
        </w:trPr>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0"/>
        </w:trPr>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Pr>
          <w:p>
            <w:pPr>
              <w:spacing w:after="0"/>
              <w:rPr>
                <w:sz w:val="15"/>
                <w:szCs w:val="15"/>
                <w:color w:val="auto"/>
              </w:rPr>
            </w:pPr>
          </w:p>
        </w:tc>
      </w:tr>
      <w:tr>
        <w:trPr>
          <w:trHeight w:val="24"/>
        </w:trPr>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126"/>
        </w:trPr>
        <w:tc>
          <w:tcPr>
            <w:tcW w:w="29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tcBorders>
              <w:top w:val="single" w:sz="8" w:color="auto"/>
            </w:tcBorders>
          </w:tcPr>
          <w:p>
            <w:pPr>
              <w:jc w:val="right"/>
              <w:ind w:right="277"/>
              <w:spacing w:after="0" w:line="12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90"/>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Rate Paid</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 Paid</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Rate Paid</w:t>
            </w:r>
          </w:p>
        </w:tc>
      </w:tr>
      <w:tr>
        <w:trPr>
          <w:trHeight w:val="222"/>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deposits: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3"/>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Non-interest bearing</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8,083,605</w:t>
            </w:r>
          </w:p>
        </w:tc>
        <w:tc>
          <w:tcPr>
            <w:tcW w:w="1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7,239,161</w:t>
            </w:r>
          </w:p>
        </w:tc>
        <w:tc>
          <w:tcPr>
            <w:tcW w:w="1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7,091,029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bearing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5,473,316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4,077,852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2,905,968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and money market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10,305,664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11,043,510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10,704,470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3,804,507</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4,757,675</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5,169,458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r>
      <w:tr>
        <w:trPr>
          <w:trHeight w:val="217"/>
        </w:trPr>
        <w:tc>
          <w:tcPr>
            <w:tcW w:w="29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27,667,092</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27,118,198</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25,870,925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0"/>
        </w:trPr>
        <w:tc>
          <w:tcPr>
            <w:tcW w:w="2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Time deposit accounts with balances greater than $250,000 totaled $774 million and $779 million at December 31, 2025 and 2024,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20" w:type="dxa"/>
            <w:vAlign w:val="bottom"/>
          </w:tcPr>
          <w:p>
            <w:pPr>
              <w:jc w:val="right"/>
              <w:ind w:right="2612"/>
              <w:spacing w:after="0"/>
              <w:rPr>
                <w:sz w:val="20"/>
                <w:szCs w:val="20"/>
                <w:color w:val="auto"/>
              </w:rPr>
            </w:pPr>
            <w:r>
              <w:rPr>
                <w:rFonts w:ascii="Times New Roman" w:cs="Times New Roman" w:eastAsia="Times New Roman" w:hAnsi="Times New Roman"/>
                <w:sz w:val="18"/>
                <w:szCs w:val="18"/>
                <w:color w:val="auto"/>
              </w:rPr>
              <w:t>The following table presents maturities of time deposits as of December 31, 2025 (in thousands):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71"/>
        </w:trPr>
        <w:tc>
          <w:tcPr>
            <w:tcW w:w="9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3"/>
        </w:trPr>
        <w:tc>
          <w:tcPr>
            <w:tcW w:w="9820" w:type="dxa"/>
            <w:vAlign w:val="bottom"/>
            <w:shd w:val="clear" w:color="auto" w:fill="CCEEFF"/>
          </w:tcPr>
          <w:p>
            <w:pPr>
              <w:jc w:val="right"/>
              <w:ind w:right="8832"/>
              <w:spacing w:after="0"/>
              <w:rPr>
                <w:sz w:val="20"/>
                <w:szCs w:val="20"/>
                <w:color w:val="auto"/>
              </w:rPr>
            </w:pPr>
            <w:r>
              <w:rPr>
                <w:rFonts w:ascii="Times New Roman" w:cs="Times New Roman" w:eastAsia="Times New Roman" w:hAnsi="Times New Roman"/>
                <w:sz w:val="18"/>
                <w:szCs w:val="18"/>
                <w:color w:val="auto"/>
                <w:w w:val="97"/>
              </w:rPr>
              <w:t>Maturing in:</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9820" w:type="dxa"/>
            <w:vAlign w:val="bottom"/>
          </w:tcPr>
          <w:p>
            <w:pPr>
              <w:jc w:val="right"/>
              <w:ind w:right="9252"/>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3,880,507</w:t>
            </w:r>
          </w:p>
        </w:tc>
      </w:tr>
      <w:tr>
        <w:trPr>
          <w:trHeight w:val="223"/>
        </w:trPr>
        <w:tc>
          <w:tcPr>
            <w:tcW w:w="9820" w:type="dxa"/>
            <w:vAlign w:val="bottom"/>
            <w:shd w:val="clear" w:color="auto" w:fill="CCEEFF"/>
          </w:tcPr>
          <w:p>
            <w:pPr>
              <w:jc w:val="right"/>
              <w:ind w:right="9252"/>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r>
      <w:tr>
        <w:trPr>
          <w:trHeight w:val="223"/>
        </w:trPr>
        <w:tc>
          <w:tcPr>
            <w:tcW w:w="9820" w:type="dxa"/>
            <w:vAlign w:val="bottom"/>
          </w:tcPr>
          <w:p>
            <w:pPr>
              <w:jc w:val="right"/>
              <w:ind w:right="9252"/>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3"/>
        </w:trPr>
        <w:tc>
          <w:tcPr>
            <w:tcW w:w="9820" w:type="dxa"/>
            <w:vAlign w:val="bottom"/>
            <w:shd w:val="clear" w:color="auto" w:fill="CCEEFF"/>
          </w:tcPr>
          <w:p>
            <w:pPr>
              <w:jc w:val="right"/>
              <w:ind w:right="9252"/>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9820" w:type="dxa"/>
            <w:vAlign w:val="bottom"/>
            <w:tcBorders>
              <w:bottom w:val="single" w:sz="8" w:color="CCEEFF"/>
            </w:tcBorders>
          </w:tcPr>
          <w:p>
            <w:pPr>
              <w:jc w:val="right"/>
              <w:ind w:right="9252"/>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42"/>
        </w:trPr>
        <w:tc>
          <w:tcPr>
            <w:tcW w:w="98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3,888,684</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460" w:firstLine="315"/>
        <w:spacing w:after="0" w:line="268" w:lineRule="auto"/>
        <w:rPr>
          <w:sz w:val="20"/>
          <w:szCs w:val="20"/>
          <w:color w:val="auto"/>
        </w:rPr>
      </w:pPr>
      <w:r>
        <w:rPr>
          <w:rFonts w:ascii="Times New Roman" w:cs="Times New Roman" w:eastAsia="Times New Roman" w:hAnsi="Times New Roman"/>
          <w:sz w:val="18"/>
          <w:szCs w:val="18"/>
          <w:color w:val="auto"/>
        </w:rPr>
        <w:t>Included in deposits are public funds deposits of $3.2 billion and $3.1 billion, at December 31, 2025 and 2024, respectively, and brokered deposits of $4.9 billion and $5.2 billion at December 31, 2025 and 2024, respectively.</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on deposits for the periods indicated was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0"/>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demand</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86,759</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and money market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382,432</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191,114</w:t>
            </w:r>
          </w:p>
        </w:tc>
      </w:tr>
      <w:tr>
        <w:trPr>
          <w:trHeight w:val="217"/>
        </w:trPr>
        <w:tc>
          <w:tcPr>
            <w:tcW w:w="674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664,335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815,572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660,305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80" w:firstLine="315"/>
        <w:spacing w:after="0" w:line="256" w:lineRule="auto"/>
        <w:rPr>
          <w:sz w:val="20"/>
          <w:szCs w:val="20"/>
          <w:color w:val="auto"/>
        </w:rPr>
      </w:pPr>
      <w:r>
        <w:rPr>
          <w:rFonts w:ascii="Times New Roman" w:cs="Times New Roman" w:eastAsia="Times New Roman" w:hAnsi="Times New Roman"/>
          <w:sz w:val="18"/>
          <w:szCs w:val="18"/>
          <w:color w:val="auto"/>
        </w:rPr>
        <w:t>We incur costs related to certain deposit rebate and commission programs. During the years ended December 31, 2025, 2024 and 2023, costs related to those programs that were correlated with the balance in the related deposit accounts totaled $57.3 million, $56.5 million, and $41.9 million, respectively. These expenses are included in "other non-interest expense" in the accompanying consolidated statements of income.</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3" w:name="page114"/>
    <w:bookmarkEnd w:id="113"/>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6"/>
          <w:szCs w:val="16"/>
          <w:b w:val="1"/>
          <w:bCs w:val="1"/>
          <w:color w:val="auto"/>
        </w:rPr>
        <w:t>Borrowings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about outstanding FHLB advances at December 31, 2025 (dollars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Range of Interest Rates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780" w:type="dxa"/>
            <w:vAlign w:val="bottom"/>
            <w:gridSpan w:val="2"/>
          </w:tcPr>
          <w:p>
            <w:pPr>
              <w:spacing w:after="0"/>
              <w:rPr>
                <w:sz w:val="2"/>
                <w:szCs w:val="2"/>
                <w:color w:val="auto"/>
              </w:rPr>
            </w:pPr>
          </w:p>
        </w:tc>
        <w:tc>
          <w:tcPr>
            <w:tcW w:w="168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Weighted Average Rate</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80" w:type="dxa"/>
            <w:vAlign w:val="bottom"/>
            <w:tcBorders>
              <w:top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in:</w:t>
            </w: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One month or less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1,475,000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Over one month</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17"/>
        </w:trPr>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contractual balance outstanding</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1,555,000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140" w:firstLine="315"/>
        <w:spacing w:after="0" w:line="268" w:lineRule="auto"/>
        <w:rPr>
          <w:sz w:val="20"/>
          <w:szCs w:val="20"/>
          <w:color w:val="auto"/>
        </w:rPr>
      </w:pPr>
      <w:r>
        <w:rPr>
          <w:rFonts w:ascii="Times New Roman" w:cs="Times New Roman" w:eastAsia="Times New Roman" w:hAnsi="Times New Roman"/>
          <w:sz w:val="18"/>
          <w:szCs w:val="18"/>
          <w:color w:val="auto"/>
        </w:rPr>
        <w:t>The table above reflects contractual maturities and rates of outstanding advances and does not incorporate the impact that interest rate derivatives have on the duration or cost of borrowings.</w:t>
      </w:r>
    </w:p>
    <w:p>
      <w:pPr>
        <w:spacing w:after="0" w:line="90" w:lineRule="exact"/>
        <w:rPr>
          <w:sz w:val="20"/>
          <w:szCs w:val="20"/>
          <w:color w:val="auto"/>
        </w:rPr>
      </w:pPr>
    </w:p>
    <w:p>
      <w:pPr>
        <w:ind w:right="80" w:firstLine="315"/>
        <w:spacing w:after="0" w:line="252" w:lineRule="auto"/>
        <w:rPr>
          <w:sz w:val="20"/>
          <w:szCs w:val="20"/>
          <w:color w:val="auto"/>
        </w:rPr>
      </w:pPr>
      <w:r>
        <w:rPr>
          <w:rFonts w:ascii="Times New Roman" w:cs="Times New Roman" w:eastAsia="Times New Roman" w:hAnsi="Times New Roman"/>
          <w:sz w:val="18"/>
          <w:szCs w:val="18"/>
          <w:color w:val="auto"/>
        </w:rPr>
        <w:t>The terms of the Company's security agreement with the FHLB require a specific assignment of collateral consisting of qualifying first mortgage loans, commercial real estate loans and mortgage-backed securities with unpaid principal amounts discounted at various stipulated percentages at least equal to 100% of outstanding FHLB advances. As of December 31, 2025, the Company had pledged investment securities and real estate loans with an aggregate carrying amount of approximately $14.5 billion as collateral for advances and letters of credit from the FHLB.</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Notes and other borrowings consisted of the following at the dates indicated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3"/>
        </w:trPr>
        <w:tc>
          <w:tcPr>
            <w:tcW w:w="78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3"/>
        </w:trPr>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amount of 4.875% senior notes maturing on November 17,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388,479</w:t>
            </w:r>
          </w:p>
        </w:tc>
      </w:tr>
      <w:tr>
        <w:trPr>
          <w:trHeight w:val="223"/>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7"/>
        </w:trPr>
        <w:tc>
          <w:tcPr>
            <w:tcW w:w="7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387,677</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3"/>
        </w:trPr>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amount of 5.125% subordinated notes maturing on June 11, 2030</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17"/>
        </w:trPr>
        <w:tc>
          <w:tcPr>
            <w:tcW w:w="7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296,857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296,247</w:t>
            </w:r>
          </w:p>
        </w:tc>
      </w:tr>
      <w:tr>
        <w:trPr>
          <w:trHeight w:val="21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683,924</w:t>
            </w: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24,629</w:t>
            </w:r>
          </w:p>
        </w:tc>
      </w:tr>
      <w:tr>
        <w:trPr>
          <w:trHeight w:val="242"/>
        </w:trPr>
        <w:tc>
          <w:tcPr>
            <w:tcW w:w="7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and other borrowings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708,553</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August 2025, the Company redeemed all of its outstanding senior notes due November 2025 at par value plus accrued interest.</w:t>
      </w:r>
    </w:p>
    <w:p>
      <w:pPr>
        <w:spacing w:after="0" w:line="148" w:lineRule="exact"/>
        <w:rPr>
          <w:sz w:val="20"/>
          <w:szCs w:val="20"/>
          <w:color w:val="auto"/>
        </w:rPr>
      </w:pPr>
    </w:p>
    <w:p>
      <w:pPr>
        <w:ind w:right="40" w:firstLine="315"/>
        <w:spacing w:after="0" w:line="252" w:lineRule="auto"/>
        <w:rPr>
          <w:sz w:val="20"/>
          <w:szCs w:val="20"/>
          <w:color w:val="auto"/>
        </w:rPr>
      </w:pPr>
      <w:r>
        <w:rPr>
          <w:rFonts w:ascii="Times New Roman" w:cs="Times New Roman" w:eastAsia="Times New Roman" w:hAnsi="Times New Roman"/>
          <w:sz w:val="18"/>
          <w:szCs w:val="18"/>
          <w:color w:val="auto"/>
        </w:rPr>
        <w:t>The subordinated notes pay interest semiannually and have an effective interest rate of 5.39%, after consideration of issuance discount and costs. The notes may be redeemed by the Company, in whole or in part, on or after March 11, 2030 at a redemption price equal to 100% of the principal amount being redeemed plus accrued and unpaid interest, subject to the approval of the Federal Reserve. The notes qualify as Tier 2 capital for regulatory capital purposes, subject to applicable limitations.</w:t>
      </w:r>
    </w:p>
    <w:p>
      <w:pPr>
        <w:spacing w:after="0" w:line="103" w:lineRule="exact"/>
        <w:rPr>
          <w:sz w:val="20"/>
          <w:szCs w:val="20"/>
          <w:color w:val="auto"/>
        </w:rPr>
      </w:pPr>
    </w:p>
    <w:p>
      <w:pPr>
        <w:ind w:right="340" w:firstLine="315"/>
        <w:spacing w:after="0" w:line="268" w:lineRule="auto"/>
        <w:rPr>
          <w:sz w:val="20"/>
          <w:szCs w:val="20"/>
          <w:color w:val="auto"/>
        </w:rPr>
      </w:pPr>
      <w:r>
        <w:rPr>
          <w:rFonts w:ascii="Times New Roman" w:cs="Times New Roman" w:eastAsia="Times New Roman" w:hAnsi="Times New Roman"/>
          <w:sz w:val="18"/>
          <w:szCs w:val="18"/>
          <w:color w:val="auto"/>
        </w:rPr>
        <w:t>At December 31, 2025, BankUnited had available borrowing capacity at the FHLB of approximately $8.4 billion and unused borrowing capacity at the FRB of approximately $6.8 billion.</w:t>
      </w: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4" w:name="page115"/>
    <w:bookmarkEnd w:id="114"/>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6"/>
          <w:szCs w:val="16"/>
          <w:b w:val="1"/>
          <w:bCs w:val="1"/>
          <w:color w:val="auto"/>
        </w:rPr>
        <w:t>Premises, Equipment and Software</w:t>
      </w:r>
    </w:p>
    <w:p>
      <w:pPr>
        <w:spacing w:after="0" w:line="163" w:lineRule="exact"/>
        <w:rPr>
          <w:sz w:val="20"/>
          <w:szCs w:val="20"/>
          <w:color w:val="auto"/>
        </w:rPr>
      </w:pPr>
    </w:p>
    <w:p>
      <w:pPr>
        <w:ind w:firstLine="315"/>
        <w:spacing w:after="0" w:line="268" w:lineRule="auto"/>
        <w:rPr>
          <w:sz w:val="20"/>
          <w:szCs w:val="20"/>
          <w:color w:val="auto"/>
        </w:rPr>
      </w:pPr>
      <w:r>
        <w:rPr>
          <w:rFonts w:ascii="Times New Roman" w:cs="Times New Roman" w:eastAsia="Times New Roman" w:hAnsi="Times New Roman"/>
          <w:sz w:val="18"/>
          <w:szCs w:val="18"/>
          <w:color w:val="auto"/>
        </w:rPr>
        <w:t>Premises and equipment and capitalized software costs are included in other assets in the accompanying consolidated balance sheets and are summarized as follows at the dates indicated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78,938</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32,133</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16,661</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CCA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116,125</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Aircraft and automobiles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11,841</w:t>
            </w:r>
          </w:p>
        </w:tc>
      </w:tr>
      <w:tr>
        <w:trPr>
          <w:trHeight w:val="217"/>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257,371</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(196,015)</w:t>
            </w: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Premises,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ind w:right="40" w:firstLine="315"/>
        <w:spacing w:after="0" w:line="268" w:lineRule="auto"/>
        <w:rPr>
          <w:sz w:val="20"/>
          <w:szCs w:val="20"/>
          <w:color w:val="auto"/>
        </w:rPr>
      </w:pPr>
      <w:r>
        <w:rPr>
          <w:rFonts w:ascii="Times New Roman" w:cs="Times New Roman" w:eastAsia="Times New Roman" w:hAnsi="Times New Roman"/>
          <w:sz w:val="18"/>
          <w:szCs w:val="18"/>
          <w:color w:val="auto"/>
        </w:rPr>
        <w:t>Depreciation and amortization expense related to premises, equipment and software was $17.4 million, $18.8 million and $18.7 million for the years ended December 31, 2025, 2024 and 2023, respectively.</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the provision for income taxes were as follows for the periods indicated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6"/>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7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Current:</w:t>
            </w:r>
          </w:p>
        </w:tc>
        <w:tc>
          <w:tcPr>
            <w:tcW w:w="3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5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97,577</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3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6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7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w:t>
            </w:r>
          </w:p>
        </w:tc>
        <w:tc>
          <w:tcPr>
            <w:tcW w:w="3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3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6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1012"/>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8"/>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9A9A9A"/>
            </w:tcBorders>
          </w:tcPr>
          <w:p>
            <w:pPr>
              <w:spacing w:after="0"/>
              <w:rPr>
                <w:sz w:val="21"/>
                <w:szCs w:val="21"/>
                <w:color w:val="auto"/>
              </w:rPr>
            </w:pPr>
          </w:p>
        </w:tc>
        <w:tc>
          <w:tcPr>
            <w:tcW w:w="3760" w:type="dxa"/>
            <w:vAlign w:val="bottom"/>
            <w:tcBorders>
              <w:bottom w:val="single" w:sz="8" w:color="9A9A9A"/>
            </w:tcBorders>
          </w:tcPr>
          <w:p>
            <w:pPr>
              <w:spacing w:after="0"/>
              <w:rPr>
                <w:sz w:val="21"/>
                <w:szCs w:val="21"/>
                <w:color w:val="auto"/>
              </w:rPr>
            </w:pPr>
          </w:p>
        </w:tc>
        <w:tc>
          <w:tcPr>
            <w:tcW w:w="322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15" w:name="page116"/>
    <w:bookmarkEnd w:id="115"/>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firstLine="315"/>
        <w:spacing w:after="0" w:line="268" w:lineRule="auto"/>
        <w:rPr>
          <w:sz w:val="20"/>
          <w:szCs w:val="20"/>
          <w:color w:val="auto"/>
        </w:rPr>
      </w:pPr>
      <w:r>
        <w:rPr>
          <w:rFonts w:ascii="Times New Roman" w:cs="Times New Roman" w:eastAsia="Times New Roman" w:hAnsi="Times New Roman"/>
          <w:sz w:val="18"/>
          <w:szCs w:val="18"/>
          <w:color w:val="auto"/>
        </w:rPr>
        <w:t>A reconciliation of expected income tax expense at the statutory federal income tax rate of 21% to the Company's effective income tax rate for the periods indicated follows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
        </w:trPr>
        <w:tc>
          <w:tcPr>
            <w:tcW w:w="2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2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 w:type="dxa"/>
            <w:vAlign w:val="bottom"/>
          </w:tcPr>
          <w:p>
            <w:pPr>
              <w:spacing w:after="0"/>
              <w:rPr>
                <w:sz w:val="16"/>
                <w:szCs w:val="16"/>
                <w:color w:val="auto"/>
              </w:rPr>
            </w:pPr>
          </w:p>
        </w:tc>
      </w:tr>
      <w:tr>
        <w:trPr>
          <w:trHeight w:val="190"/>
        </w:trPr>
        <w:tc>
          <w:tcPr>
            <w:tcW w:w="2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6"/>
                <w:szCs w:val="16"/>
                <w:color w:val="auto"/>
              </w:rPr>
            </w:pPr>
          </w:p>
        </w:tc>
      </w:tr>
      <w:tr>
        <w:trPr>
          <w:trHeight w:val="157"/>
        </w:trPr>
        <w:tc>
          <w:tcPr>
            <w:tcW w:w="3900" w:type="dxa"/>
            <w:vAlign w:val="bottom"/>
            <w:tcBorders>
              <w:top w:val="single" w:sz="8" w:color="CCEEFF"/>
            </w:tcBorders>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w w:val="98"/>
              </w:rPr>
              <w:t>Tax expense calculated at the statutory federal income</w:t>
            </w: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37"/>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rate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49,788</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20" w:type="dxa"/>
            <w:vAlign w:val="bottom"/>
          </w:tcPr>
          <w:p>
            <w:pPr>
              <w:spacing w:after="0"/>
              <w:rPr>
                <w:sz w:val="20"/>
                <w:szCs w:val="20"/>
                <w:color w:val="auto"/>
              </w:rPr>
            </w:pPr>
          </w:p>
        </w:tc>
      </w:tr>
      <w:tr>
        <w:trPr>
          <w:trHeight w:val="22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Increases (decreases) resulting from:</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900" w:type="dxa"/>
            <w:vAlign w:val="bottom"/>
            <w:gridSpan w:val="2"/>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State income taxes, net of federal tax benefit</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3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7"/>
              </w:rPr>
              <w:t>3.96 %</w:t>
            </w:r>
          </w:p>
        </w:tc>
        <w:tc>
          <w:tcPr>
            <w:tcW w:w="20" w:type="dxa"/>
            <w:vAlign w:val="bottom"/>
          </w:tcPr>
          <w:p>
            <w:pPr>
              <w:spacing w:after="0"/>
              <w:rPr>
                <w:sz w:val="19"/>
                <w:szCs w:val="19"/>
                <w:color w:val="auto"/>
              </w:rPr>
            </w:pPr>
          </w:p>
        </w:tc>
      </w:tr>
      <w:tr>
        <w:trPr>
          <w:trHeight w:val="223"/>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exempt interest income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Pr>
          <w:p>
            <w:pPr>
              <w:spacing w:after="0"/>
              <w:rPr>
                <w:sz w:val="19"/>
                <w:szCs w:val="19"/>
                <w:color w:val="auto"/>
              </w:rPr>
            </w:pPr>
          </w:p>
        </w:tc>
      </w:tr>
      <w:tr>
        <w:trPr>
          <w:trHeight w:val="22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FDIC premiums non-deductible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3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97"/>
              </w:rPr>
              <w:t>1.79 %</w:t>
            </w:r>
          </w:p>
        </w:tc>
        <w:tc>
          <w:tcPr>
            <w:tcW w:w="20" w:type="dxa"/>
            <w:vAlign w:val="bottom"/>
          </w:tcPr>
          <w:p>
            <w:pPr>
              <w:spacing w:after="0"/>
              <w:rPr>
                <w:sz w:val="19"/>
                <w:szCs w:val="19"/>
                <w:color w:val="auto"/>
              </w:rPr>
            </w:pPr>
          </w:p>
        </w:tc>
      </w:tr>
      <w:tr>
        <w:trPr>
          <w:trHeight w:val="223"/>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3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7"/>
              </w:rPr>
              <w:t>0.42 %</w:t>
            </w:r>
          </w:p>
        </w:tc>
        <w:tc>
          <w:tcPr>
            <w:tcW w:w="20" w:type="dxa"/>
            <w:vAlign w:val="bottom"/>
          </w:tcPr>
          <w:p>
            <w:pPr>
              <w:spacing w:after="0"/>
              <w:rPr>
                <w:sz w:val="19"/>
                <w:szCs w:val="19"/>
                <w:color w:val="auto"/>
              </w:rPr>
            </w:pPr>
          </w:p>
        </w:tc>
      </w:tr>
      <w:tr>
        <w:trPr>
          <w:trHeight w:val="223"/>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13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97"/>
              </w:rPr>
              <w:t>4.72 %</w:t>
            </w:r>
          </w:p>
        </w:tc>
        <w:tc>
          <w:tcPr>
            <w:tcW w:w="20" w:type="dxa"/>
            <w:vAlign w:val="bottom"/>
          </w:tcPr>
          <w:p>
            <w:pPr>
              <w:spacing w:after="0"/>
              <w:rPr>
                <w:sz w:val="19"/>
                <w:szCs w:val="19"/>
                <w:color w:val="auto"/>
              </w:rPr>
            </w:pPr>
          </w:p>
        </w:tc>
      </w:tr>
      <w:tr>
        <w:trPr>
          <w:trHeight w:val="223"/>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 net of amortization</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0" w:type="dxa"/>
            <w:vAlign w:val="bottom"/>
          </w:tcPr>
          <w:p>
            <w:pPr>
              <w:spacing w:after="0"/>
              <w:rPr>
                <w:sz w:val="19"/>
                <w:szCs w:val="19"/>
                <w:color w:val="auto"/>
              </w:rPr>
            </w:pPr>
          </w:p>
        </w:tc>
      </w:tr>
      <w:tr>
        <w:trPr>
          <w:trHeight w:val="223"/>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 w:type="dxa"/>
            <w:vAlign w:val="bottom"/>
          </w:tcPr>
          <w:p>
            <w:pPr>
              <w:spacing w:after="0"/>
              <w:rPr>
                <w:sz w:val="19"/>
                <w:szCs w:val="19"/>
                <w:color w:val="auto"/>
              </w:rPr>
            </w:pPr>
          </w:p>
        </w:tc>
      </w:tr>
      <w:tr>
        <w:trPr>
          <w:trHeight w:val="242"/>
        </w:trPr>
        <w:tc>
          <w:tcPr>
            <w:tcW w:w="218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24.64 %</w:t>
            </w:r>
          </w:p>
        </w:tc>
        <w:tc>
          <w:tcPr>
            <w:tcW w:w="20" w:type="dxa"/>
            <w:vAlign w:val="bottom"/>
          </w:tcPr>
          <w:p>
            <w:pPr>
              <w:spacing w:after="0"/>
              <w:rPr>
                <w:sz w:val="20"/>
                <w:szCs w:val="20"/>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1"/>
        </w:trPr>
        <w:tc>
          <w:tcPr>
            <w:tcW w:w="2180" w:type="dxa"/>
            <w:vAlign w:val="bottom"/>
            <w:tcBorders>
              <w:bottom w:val="single" w:sz="8" w:color="auto"/>
            </w:tcBorders>
          </w:tcPr>
          <w:p>
            <w:pPr>
              <w:spacing w:after="0"/>
              <w:rPr>
                <w:sz w:val="24"/>
                <w:szCs w:val="24"/>
                <w:color w:val="auto"/>
              </w:rPr>
            </w:pPr>
          </w:p>
        </w:tc>
        <w:tc>
          <w:tcPr>
            <w:tcW w:w="324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54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  State taxes in New York and Florida made up the majority of the tax effect in this category.</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7840" w:type="dxa"/>
            <w:vAlign w:val="bottom"/>
            <w:gridSpan w:val="12"/>
          </w:tcPr>
          <w:p>
            <w:pPr>
              <w:ind w:left="320"/>
              <w:spacing w:after="0"/>
              <w:rPr>
                <w:sz w:val="20"/>
                <w:szCs w:val="20"/>
                <w:color w:val="auto"/>
              </w:rPr>
            </w:pPr>
            <w:r>
              <w:rPr>
                <w:rFonts w:ascii="Times New Roman" w:cs="Times New Roman" w:eastAsia="Times New Roman" w:hAnsi="Times New Roman"/>
                <w:sz w:val="18"/>
                <w:szCs w:val="18"/>
                <w:color w:val="auto"/>
                <w:w w:val="98"/>
              </w:rPr>
              <w:t>The components of deferred tax assets and liabilities were as follows at the dates indicated (in thousands):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2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24"/>
                <w:szCs w:val="24"/>
                <w:color w:val="auto"/>
              </w:rPr>
            </w:pPr>
          </w:p>
        </w:tc>
        <w:tc>
          <w:tcPr>
            <w:tcW w:w="13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0" w:type="dxa"/>
            <w:vAlign w:val="bottom"/>
          </w:tcPr>
          <w:p>
            <w:pPr>
              <w:spacing w:after="0"/>
              <w:rPr>
                <w:sz w:val="24"/>
                <w:szCs w:val="24"/>
                <w:color w:val="auto"/>
              </w:rPr>
            </w:pPr>
          </w:p>
        </w:tc>
      </w:tr>
      <w:tr>
        <w:trPr>
          <w:trHeight w:val="24"/>
        </w:trPr>
        <w:tc>
          <w:tcPr>
            <w:tcW w:w="39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3"/>
        </w:trPr>
        <w:tc>
          <w:tcPr>
            <w:tcW w:w="390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3"/>
        </w:trPr>
        <w:tc>
          <w:tcPr>
            <w:tcW w:w="54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Net unrealized loss on investment securities AFS and cash flow hedges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99,974</w:t>
            </w:r>
          </w:p>
        </w:tc>
        <w:tc>
          <w:tcPr>
            <w:tcW w:w="20" w:type="dxa"/>
            <w:vAlign w:val="bottom"/>
          </w:tcPr>
          <w:p>
            <w:pPr>
              <w:spacing w:after="0"/>
              <w:rPr>
                <w:sz w:val="19"/>
                <w:szCs w:val="19"/>
                <w:color w:val="auto"/>
              </w:rPr>
            </w:pPr>
          </w:p>
        </w:tc>
      </w:tr>
      <w:tr>
        <w:trPr>
          <w:trHeight w:val="223"/>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59,291</w:t>
            </w:r>
          </w:p>
        </w:tc>
        <w:tc>
          <w:tcPr>
            <w:tcW w:w="20" w:type="dxa"/>
            <w:vAlign w:val="bottom"/>
            <w:shd w:val="clear" w:color="auto" w:fill="CCEEFF"/>
          </w:tcPr>
          <w:p>
            <w:pPr>
              <w:spacing w:after="0"/>
              <w:rPr>
                <w:sz w:val="19"/>
                <w:szCs w:val="19"/>
                <w:color w:val="auto"/>
              </w:rPr>
            </w:pPr>
          </w:p>
        </w:tc>
      </w:tr>
      <w:tr>
        <w:trPr>
          <w:trHeight w:val="223"/>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22,267</w:t>
            </w:r>
          </w:p>
        </w:tc>
        <w:tc>
          <w:tcPr>
            <w:tcW w:w="20" w:type="dxa"/>
            <w:vAlign w:val="bottom"/>
          </w:tcPr>
          <w:p>
            <w:pPr>
              <w:spacing w:after="0"/>
              <w:rPr>
                <w:sz w:val="19"/>
                <w:szCs w:val="19"/>
                <w:color w:val="auto"/>
              </w:rPr>
            </w:pPr>
          </w:p>
        </w:tc>
      </w:tr>
      <w:tr>
        <w:trPr>
          <w:trHeight w:val="223"/>
        </w:trPr>
        <w:tc>
          <w:tcPr>
            <w:tcW w:w="3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18,301</w:t>
            </w:r>
          </w:p>
        </w:tc>
        <w:tc>
          <w:tcPr>
            <w:tcW w:w="20" w:type="dxa"/>
            <w:vAlign w:val="bottom"/>
            <w:shd w:val="clear" w:color="auto" w:fill="CCEEFF"/>
          </w:tcPr>
          <w:p>
            <w:pPr>
              <w:spacing w:after="0"/>
              <w:rPr>
                <w:sz w:val="19"/>
                <w:szCs w:val="19"/>
                <w:color w:val="auto"/>
              </w:rPr>
            </w:pPr>
          </w:p>
        </w:tc>
      </w:tr>
      <w:tr>
        <w:trPr>
          <w:trHeight w:val="223"/>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12,225</w:t>
            </w:r>
          </w:p>
        </w:tc>
        <w:tc>
          <w:tcPr>
            <w:tcW w:w="20" w:type="dxa"/>
            <w:vAlign w:val="bottom"/>
          </w:tcPr>
          <w:p>
            <w:pPr>
              <w:spacing w:after="0"/>
              <w:rPr>
                <w:sz w:val="19"/>
                <w:szCs w:val="19"/>
                <w:color w:val="auto"/>
              </w:rPr>
            </w:pPr>
          </w:p>
        </w:tc>
      </w:tr>
      <w:tr>
        <w:trPr>
          <w:trHeight w:val="223"/>
        </w:trPr>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44,918</w:t>
            </w:r>
          </w:p>
        </w:tc>
        <w:tc>
          <w:tcPr>
            <w:tcW w:w="20" w:type="dxa"/>
            <w:vAlign w:val="bottom"/>
            <w:tcBorders>
              <w:bottom w:val="single" w:sz="8" w:color="auto"/>
            </w:tcBorders>
            <w:shd w:val="clear" w:color="auto" w:fill="CCEEFF"/>
          </w:tcPr>
          <w:p>
            <w:pPr>
              <w:spacing w:after="0"/>
              <w:rPr>
                <w:sz w:val="19"/>
                <w:szCs w:val="19"/>
                <w:color w:val="auto"/>
              </w:rPr>
            </w:pPr>
          </w:p>
        </w:tc>
      </w:tr>
      <w:tr>
        <w:trPr>
          <w:trHeight w:val="217"/>
        </w:trPr>
        <w:tc>
          <w:tcPr>
            <w:tcW w:w="39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220,290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256,976</w:t>
            </w:r>
          </w:p>
        </w:tc>
        <w:tc>
          <w:tcPr>
            <w:tcW w:w="20" w:type="dxa"/>
            <w:vAlign w:val="bottom"/>
            <w:tcBorders>
              <w:bottom w:val="single" w:sz="8" w:color="auto"/>
            </w:tcBorders>
          </w:tcPr>
          <w:p>
            <w:pPr>
              <w:spacing w:after="0"/>
              <w:rPr>
                <w:sz w:val="18"/>
                <w:szCs w:val="18"/>
                <w:color w:val="auto"/>
              </w:rPr>
            </w:pPr>
          </w:p>
        </w:tc>
      </w:tr>
      <w:tr>
        <w:trPr>
          <w:trHeight w:val="203"/>
        </w:trPr>
        <w:tc>
          <w:tcPr>
            <w:tcW w:w="390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3"/>
        </w:trPr>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 financing, due to differences in depreciation</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56,818</w:t>
            </w:r>
          </w:p>
        </w:tc>
        <w:tc>
          <w:tcPr>
            <w:tcW w:w="20" w:type="dxa"/>
            <w:vAlign w:val="bottom"/>
          </w:tcPr>
          <w:p>
            <w:pPr>
              <w:spacing w:after="0"/>
              <w:rPr>
                <w:sz w:val="19"/>
                <w:szCs w:val="19"/>
                <w:color w:val="auto"/>
              </w:rPr>
            </w:pPr>
          </w:p>
        </w:tc>
      </w:tr>
      <w:tr>
        <w:trPr>
          <w:trHeight w:val="223"/>
        </w:trPr>
        <w:tc>
          <w:tcPr>
            <w:tcW w:w="3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ROU asset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34,752</w:t>
            </w:r>
          </w:p>
        </w:tc>
        <w:tc>
          <w:tcPr>
            <w:tcW w:w="20" w:type="dxa"/>
            <w:vAlign w:val="bottom"/>
            <w:shd w:val="clear" w:color="auto" w:fill="CCEEFF"/>
          </w:tcPr>
          <w:p>
            <w:pPr>
              <w:spacing w:after="0"/>
              <w:rPr>
                <w:sz w:val="19"/>
                <w:szCs w:val="19"/>
                <w:color w:val="auto"/>
              </w:rPr>
            </w:pPr>
          </w:p>
        </w:tc>
      </w:tr>
      <w:tr>
        <w:trPr>
          <w:trHeight w:val="223"/>
        </w:trPr>
        <w:tc>
          <w:tcPr>
            <w:tcW w:w="39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0" w:type="dxa"/>
            <w:vAlign w:val="bottom"/>
            <w:tcBorders>
              <w:bottom w:val="single" w:sz="8" w:color="auto"/>
            </w:tcBorders>
          </w:tcPr>
          <w:p>
            <w:pPr>
              <w:spacing w:after="0"/>
              <w:rPr>
                <w:sz w:val="19"/>
                <w:szCs w:val="19"/>
                <w:color w:val="auto"/>
              </w:rPr>
            </w:pPr>
          </w:p>
        </w:tc>
      </w:tr>
      <w:tr>
        <w:trPr>
          <w:trHeight w:val="217"/>
        </w:trPr>
        <w:tc>
          <w:tcPr>
            <w:tcW w:w="3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96,358</w:t>
            </w:r>
          </w:p>
        </w:tc>
        <w:tc>
          <w:tcPr>
            <w:tcW w:w="20" w:type="dxa"/>
            <w:vAlign w:val="bottom"/>
            <w:tcBorders>
              <w:bottom w:val="single" w:sz="8" w:color="auto"/>
            </w:tcBorders>
            <w:shd w:val="clear" w:color="auto" w:fill="CCEEFF"/>
          </w:tcPr>
          <w:p>
            <w:pPr>
              <w:spacing w:after="0"/>
              <w:rPr>
                <w:sz w:val="18"/>
                <w:szCs w:val="18"/>
                <w:color w:val="auto"/>
              </w:rPr>
            </w:pPr>
          </w:p>
        </w:tc>
      </w:tr>
      <w:tr>
        <w:trPr>
          <w:trHeight w:val="217"/>
        </w:trPr>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132,618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160,618</w:t>
            </w:r>
          </w:p>
        </w:tc>
        <w:tc>
          <w:tcPr>
            <w:tcW w:w="20" w:type="dxa"/>
            <w:vAlign w:val="bottom"/>
            <w:tcBorders>
              <w:bottom w:val="single" w:sz="8" w:color="auto"/>
            </w:tcBorders>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firstLine="315"/>
        <w:spacing w:after="0" w:line="256" w:lineRule="auto"/>
        <w:rPr>
          <w:sz w:val="20"/>
          <w:szCs w:val="20"/>
          <w:color w:val="auto"/>
        </w:rPr>
      </w:pPr>
      <w:r>
        <w:rPr>
          <w:rFonts w:ascii="Times New Roman" w:cs="Times New Roman" w:eastAsia="Times New Roman" w:hAnsi="Times New Roman"/>
          <w:sz w:val="18"/>
          <w:szCs w:val="18"/>
          <w:color w:val="auto"/>
        </w:rPr>
        <w:t>Based on the evaluation of available evidence, the Company has concluded that it is more likely than not that the existing deferred tax assets will be realized. The primary factors supporting this conclusion are the Company's history of reported pre-tax income and the amount of future taxable income that will result from the scheduled reversal of existing deferred tax liabilities.</w:t>
      </w:r>
    </w:p>
    <w:p>
      <w:pPr>
        <w:spacing w:after="0" w:line="100" w:lineRule="exact"/>
        <w:rPr>
          <w:sz w:val="20"/>
          <w:szCs w:val="20"/>
          <w:color w:val="auto"/>
        </w:rPr>
      </w:pPr>
    </w:p>
    <w:p>
      <w:pPr>
        <w:ind w:right="80" w:firstLine="315"/>
        <w:spacing w:after="0" w:line="256" w:lineRule="auto"/>
        <w:rPr>
          <w:sz w:val="20"/>
          <w:szCs w:val="20"/>
          <w:color w:val="auto"/>
        </w:rPr>
      </w:pPr>
      <w:r>
        <w:rPr>
          <w:rFonts w:ascii="Times New Roman" w:cs="Times New Roman" w:eastAsia="Times New Roman" w:hAnsi="Times New Roman"/>
          <w:sz w:val="18"/>
          <w:szCs w:val="18"/>
          <w:color w:val="auto"/>
        </w:rPr>
        <w:t>At December 31, 2025, remaining net operating loss and tax credit carryforwards included Florida net operating loss carryforwards in the amount of $92.9 million. Florida net operating loss carryforwards consisted of $65.3 million expiring from 2030 through 2037 and $27.5 million that can be carried forward indefinitely.</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16" w:name="page117"/>
    <w:bookmarkEnd w:id="116"/>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firstLine="315"/>
        <w:spacing w:after="0" w:line="247" w:lineRule="auto"/>
        <w:rPr>
          <w:sz w:val="20"/>
          <w:szCs w:val="20"/>
          <w:color w:val="auto"/>
        </w:rPr>
      </w:pPr>
      <w:r>
        <w:rPr>
          <w:rFonts w:ascii="Times New Roman" w:cs="Times New Roman" w:eastAsia="Times New Roman" w:hAnsi="Times New Roman"/>
          <w:sz w:val="18"/>
          <w:szCs w:val="18"/>
          <w:color w:val="auto"/>
        </w:rPr>
        <w:t>The Company has investments in affordable housing limited partnerships which generate federal LIHTC and other tax benefits. The balance of these investments, included in other assets in the accompanying consolidated balance sheet, was $106 million and $120 million at December 31, 2025 and 2024, respectively. Unfunded commitments for affordable housing investments, included in other liabilities in the accompanying consolidated balance sheets, were $38 million and $73 million at December 31, 2025 and 2024, respectively. The maximum exposure to loss as a result of the Company's involvement with these limited partnerships at December 31, 2025, was approximately $184 million. While the Company believes the likelihood of potential losses from these investments is remote, the maximum exposure was determined by assuming a scenario where the projects completely fail and do not meet certain government compliance requirements resulting in recapture of the related tax credits and full impairment of the remaining unamortized investment. These investments did not have a material impact on income tax expense for the years ended December 31, 2025, 2024 and 2023.</w:t>
      </w:r>
    </w:p>
    <w:p>
      <w:pPr>
        <w:spacing w:after="0" w:line="123" w:lineRule="exact"/>
        <w:rPr>
          <w:sz w:val="20"/>
          <w:szCs w:val="20"/>
          <w:color w:val="auto"/>
        </w:rPr>
      </w:pPr>
    </w:p>
    <w:p>
      <w:pPr>
        <w:ind w:right="220" w:firstLine="315"/>
        <w:spacing w:after="0" w:line="268" w:lineRule="auto"/>
        <w:rPr>
          <w:sz w:val="20"/>
          <w:szCs w:val="20"/>
          <w:color w:val="auto"/>
        </w:rPr>
      </w:pPr>
      <w:r>
        <w:rPr>
          <w:rFonts w:ascii="Times New Roman" w:cs="Times New Roman" w:eastAsia="Times New Roman" w:hAnsi="Times New Roman"/>
          <w:sz w:val="18"/>
          <w:szCs w:val="18"/>
          <w:color w:val="auto"/>
        </w:rPr>
        <w:t>The Company has a liability for unrecognized tax benefits relating to uncertain federal and state tax positions in several jurisdictions. A reconciliation of the beginning and ending amount of gross unrecognized tax benefits at the dates indicated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6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369,880</w:t>
            </w: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r>
      <w:tr>
        <w:trPr>
          <w:trHeight w:val="223"/>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related to prior periods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3"/>
        </w:trPr>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Reductions due to settlements with taxing authorities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Reductions due to lapse of the statute of limitations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17"/>
        </w:trPr>
        <w:tc>
          <w:tcPr>
            <w:tcW w:w="6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371,426</w:t>
            </w:r>
          </w:p>
        </w:tc>
      </w:tr>
      <w:tr>
        <w:trPr>
          <w:trHeight w:val="223"/>
        </w:trPr>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penalties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w:t>
            </w:r>
          </w:p>
        </w:tc>
      </w:tr>
      <w:tr>
        <w:trPr>
          <w:trHeight w:val="217"/>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401,129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383,895</w:t>
            </w: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120" w:firstLine="315"/>
        <w:spacing w:after="0" w:line="268" w:lineRule="auto"/>
        <w:rPr>
          <w:sz w:val="20"/>
          <w:szCs w:val="20"/>
          <w:color w:val="auto"/>
        </w:rPr>
      </w:pPr>
      <w:r>
        <w:rPr>
          <w:rFonts w:ascii="Times New Roman" w:cs="Times New Roman" w:eastAsia="Times New Roman" w:hAnsi="Times New Roman"/>
          <w:sz w:val="18"/>
          <w:szCs w:val="18"/>
          <w:color w:val="auto"/>
        </w:rPr>
        <w:t>As of December 31, 2025, 2024 and 2023, the Company had $347.1 million, $345.6 million and $343.8 million, respectively, of unrecognized federal and state tax benefits, net of federal tax benefits, that if recognized would have impacted the effective tax rate.</w:t>
      </w:r>
    </w:p>
    <w:p>
      <w:pPr>
        <w:spacing w:after="0" w:line="103" w:lineRule="exact"/>
        <w:rPr>
          <w:sz w:val="20"/>
          <w:szCs w:val="20"/>
          <w:color w:val="auto"/>
        </w:rPr>
      </w:pPr>
    </w:p>
    <w:p>
      <w:pPr>
        <w:ind w:right="360" w:firstLine="315"/>
        <w:spacing w:after="0" w:line="252" w:lineRule="auto"/>
        <w:rPr>
          <w:sz w:val="20"/>
          <w:szCs w:val="20"/>
          <w:color w:val="auto"/>
        </w:rPr>
      </w:pPr>
      <w:r>
        <w:rPr>
          <w:rFonts w:ascii="Times New Roman" w:cs="Times New Roman" w:eastAsia="Times New Roman" w:hAnsi="Times New Roman"/>
          <w:sz w:val="18"/>
          <w:szCs w:val="18"/>
          <w:color w:val="auto"/>
        </w:rPr>
        <w:t>Interest and penalties related to unrecognized tax benefits are included in the provision for income taxes in the consolidated statements of income. At December 31, 2025 and 2024, accrued interest and penalties included in the consolidated balance sheets, net of federal tax benefits, were $47.8 million and $38.3 million, respectively. The total amount of interest and penalties, net of federal tax benefits, recognized through income tax expense was $9.5 million, $11.9 million and $10.0 million during the years ended December 31, 2025, 2024 and 2023, respectively.</w:t>
      </w:r>
    </w:p>
    <w:p>
      <w:pPr>
        <w:spacing w:after="0" w:line="103" w:lineRule="exact"/>
        <w:rPr>
          <w:sz w:val="20"/>
          <w:szCs w:val="20"/>
          <w:color w:val="auto"/>
        </w:rPr>
      </w:pPr>
    </w:p>
    <w:p>
      <w:pPr>
        <w:jc w:val="both"/>
        <w:ind w:right="280" w:firstLine="315"/>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as well as combined state income tax returns where combined filings are required. The federal tax returns for years 2018 through 2024 remain subject to examination in the U.S. Federal jurisdiction. State tax returns for years 2021 through 2024, remain subject to examination by certain states.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income tax paid (net of refunds received) were as follows for the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6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6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22"/>
                <w:szCs w:val="22"/>
                <w:color w:val="auto"/>
                <w:vertAlign w:val="superscript"/>
              </w:rPr>
              <w:t>(1)</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133,000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r>
      <w:tr>
        <w:trPr>
          <w:trHeight w:val="223"/>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42"/>
        </w:trPr>
        <w:tc>
          <w:tcPr>
            <w:tcW w:w="6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147,755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48,782</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13773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365" w:lineRule="exact"/>
        <w:rPr>
          <w:sz w:val="20"/>
          <w:szCs w:val="20"/>
          <w:color w:val="auto"/>
        </w:rPr>
      </w:pPr>
    </w:p>
    <w:p>
      <w:pPr>
        <w:ind w:left="320" w:hanging="315"/>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$85.0 million of a tax deposit payment made during the year ended December 31, 2025.</w:t>
      </w:r>
    </w:p>
    <w:p>
      <w:pPr>
        <w:spacing w:after="0" w:line="145" w:lineRule="exact"/>
        <w:rPr>
          <w:sz w:val="20"/>
          <w:szCs w:val="20"/>
          <w:color w:val="auto"/>
        </w:rPr>
      </w:pPr>
    </w:p>
    <w:p>
      <w:pPr>
        <w:ind w:right="320" w:firstLine="31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income taxes paid (net of refunds) to jurisdictions that exceeded five percent of total income taxes paid was $7.7 million and $7.0 million in New York State and New York City, respectively. During the years ended December 31, 2025 and 2023, there were no jurisdiction that exceeded five percent of total income tax paid (net of refunds).</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7" w:name="page118"/>
    <w:bookmarkEnd w:id="117"/>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6"/>
          <w:szCs w:val="16"/>
          <w:b w:val="1"/>
          <w:bCs w:val="1"/>
          <w:color w:val="auto"/>
        </w:rPr>
        <w:t>Derivative Financial Instruments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137" w:lineRule="exact"/>
        <w:rPr>
          <w:sz w:val="20"/>
          <w:szCs w:val="20"/>
          <w:color w:val="auto"/>
        </w:rPr>
      </w:pPr>
    </w:p>
    <w:p>
      <w:pPr>
        <w:ind w:firstLine="315"/>
        <w:spacing w:after="0" w:line="268" w:lineRule="auto"/>
        <w:rPr>
          <w:sz w:val="20"/>
          <w:szCs w:val="20"/>
          <w:color w:val="auto"/>
        </w:rPr>
      </w:pPr>
      <w:r>
        <w:rPr>
          <w:rFonts w:ascii="Times New Roman" w:cs="Times New Roman" w:eastAsia="Times New Roman" w:hAnsi="Times New Roman"/>
          <w:sz w:val="18"/>
          <w:szCs w:val="18"/>
          <w:color w:val="auto"/>
        </w:rPr>
        <w:t>The Company has entered into interest rate derivatives designated as cash flow hedges with the objective of limiting the variability of interest payment cash flows. Changes in fair value of derivative instruments designated as cash flow hedges are reported in accumulated other comprehensive income.</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derivatives designated as hedging instruments as of the dates indicated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21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gridSpan w:val="5"/>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gridSpan w:val="4"/>
          </w:tcPr>
          <w:p>
            <w:pPr>
              <w:spacing w:after="0"/>
              <w:rPr>
                <w:sz w:val="2"/>
                <w:szCs w:val="2"/>
                <w:color w:val="auto"/>
              </w:rPr>
            </w:pPr>
          </w:p>
        </w:tc>
      </w:tr>
      <w:tr>
        <w:trPr>
          <w:trHeight w:val="183"/>
        </w:trPr>
        <w:tc>
          <w:tcPr>
            <w:tcW w:w="2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9"/>
                <w:szCs w:val="9"/>
                <w:b w:val="1"/>
                <w:bCs w:val="1"/>
                <w:color w:val="auto"/>
              </w:rPr>
              <w:t>(1)</w:t>
            </w:r>
          </w:p>
        </w:tc>
      </w:tr>
      <w:tr>
        <w:trPr>
          <w:trHeight w:val="191"/>
        </w:trPr>
        <w:tc>
          <w:tcPr>
            <w:tcW w:w="21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0" w:type="dxa"/>
            <w:vAlign w:val="bottom"/>
          </w:tcPr>
          <w:p>
            <w:pPr>
              <w:spacing w:after="0"/>
              <w:rPr>
                <w:sz w:val="16"/>
                <w:szCs w:val="16"/>
                <w:color w:val="auto"/>
              </w:rPr>
            </w:pP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0" w:type="dxa"/>
            <w:vAlign w:val="bottom"/>
          </w:tcPr>
          <w:p>
            <w:pPr>
              <w:spacing w:after="0"/>
              <w:rPr>
                <w:sz w:val="16"/>
                <w:szCs w:val="16"/>
                <w:color w:val="auto"/>
              </w:rPr>
            </w:pP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10"/>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08"/>
        </w:trPr>
        <w:tc>
          <w:tcPr>
            <w:tcW w:w="4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rate swaps</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4,555,000</w:t>
            </w:r>
          </w:p>
        </w:tc>
        <w:tc>
          <w:tcPr>
            <w:tcW w:w="34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4,030,000</w:t>
            </w:r>
          </w:p>
        </w:tc>
        <w:tc>
          <w:tcPr>
            <w:tcW w:w="34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w:t>
            </w:r>
          </w:p>
        </w:tc>
      </w:tr>
      <w:tr>
        <w:trPr>
          <w:trHeight w:val="212"/>
        </w:trPr>
        <w:tc>
          <w:tcPr>
            <w:tcW w:w="4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caps purchased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4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rate collar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8"/>
        </w:trPr>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4,680,000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4,355,000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2180" w:type="dxa"/>
            <w:vAlign w:val="bottom"/>
            <w:tcBorders>
              <w:bottom w:val="single" w:sz="8" w:color="auto"/>
            </w:tcBorders>
          </w:tcPr>
          <w:p>
            <w:pPr>
              <w:spacing w:after="0"/>
              <w:rPr>
                <w:sz w:val="12"/>
                <w:szCs w:val="12"/>
                <w:color w:val="auto"/>
              </w:rPr>
            </w:pPr>
          </w:p>
        </w:tc>
        <w:tc>
          <w:tcPr>
            <w:tcW w:w="2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r>
    </w:tbl>
    <w:p>
      <w:pPr>
        <w:spacing w:after="0" w:line="69" w:lineRule="exact"/>
        <w:rPr>
          <w:sz w:val="20"/>
          <w:szCs w:val="20"/>
          <w:color w:val="auto"/>
        </w:rPr>
      </w:pPr>
    </w:p>
    <w:p>
      <w:pPr>
        <w:ind w:left="320" w:hanging="315"/>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values of derivatives are included in other assets or other liabilities in the consolidated balance sheets.</w:t>
      </w:r>
    </w:p>
    <w:p>
      <w:pPr>
        <w:spacing w:after="0" w:line="145" w:lineRule="exact"/>
        <w:rPr>
          <w:sz w:val="20"/>
          <w:szCs w:val="20"/>
          <w:color w:val="auto"/>
        </w:rPr>
      </w:pPr>
    </w:p>
    <w:p>
      <w:pPr>
        <w:ind w:right="4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 provides information about the amount of gain (loss) related to derivatives designated as cash flow hedges reclassified from AOCI into interest income or expense for the periods indicated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69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9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 of gain (loss) reclassified from AOCI into income: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on deposits</w:t>
            </w:r>
          </w:p>
        </w:tc>
        <w:tc>
          <w:tcPr>
            <w:tcW w:w="820" w:type="dxa"/>
            <w:vAlign w:val="bottom"/>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4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18,235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23,569</w:t>
            </w:r>
          </w:p>
        </w:tc>
      </w:tr>
      <w:tr>
        <w:trPr>
          <w:trHeight w:val="223"/>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on borrowings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17,674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48,064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44,790</w:t>
            </w:r>
          </w:p>
        </w:tc>
      </w:tr>
      <w:tr>
        <w:trPr>
          <w:trHeight w:val="223"/>
        </w:trPr>
        <w:tc>
          <w:tcPr>
            <w:tcW w:w="6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income on loans</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(5,274)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(3,923)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8"/>
              </w:rPr>
              <w:t>(2,620)</w:t>
            </w:r>
          </w:p>
        </w:tc>
      </w:tr>
      <w:tr>
        <w:trPr>
          <w:trHeight w:val="242"/>
        </w:trPr>
        <w:tc>
          <w:tcPr>
            <w:tcW w:w="69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15,911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62,376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65,739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160" w:firstLine="315"/>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2025, 2024 and 2023, no derivative positions designated as cash flow hedges were discontinued and none of the gains and losses reported in AOCI were reclassified into earnings as a result of the discontinuance of cash flow hedges or because of the early extinguishment of debt.</w:t>
      </w:r>
    </w:p>
    <w:p>
      <w:pPr>
        <w:spacing w:after="0" w:line="113" w:lineRule="exact"/>
        <w:rPr>
          <w:sz w:val="20"/>
          <w:szCs w:val="20"/>
          <w:color w:val="auto"/>
        </w:rPr>
      </w:pPr>
    </w:p>
    <w:p>
      <w:pPr>
        <w:ind w:right="160" w:firstLine="315"/>
        <w:spacing w:after="0" w:line="256" w:lineRule="auto"/>
        <w:rPr>
          <w:sz w:val="20"/>
          <w:szCs w:val="20"/>
          <w:color w:val="auto"/>
        </w:rPr>
      </w:pPr>
      <w:r>
        <w:rPr>
          <w:rFonts w:ascii="Times New Roman" w:cs="Times New Roman" w:eastAsia="Times New Roman" w:hAnsi="Times New Roman"/>
          <w:sz w:val="18"/>
          <w:szCs w:val="18"/>
          <w:color w:val="auto"/>
        </w:rPr>
        <w:t>As of December 31, 2025, the amount of net gain expected to be reclassified from AOCI into earnings during the next 12 months was $5.8 million, based on the forward curve. See Note 11 to the consolidated financial statements for additional information about the reclassification adjustments from AOCI into earnings.</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8" w:name="page119"/>
    <w:bookmarkEnd w:id="118"/>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137" w:lineRule="exact"/>
        <w:rPr>
          <w:sz w:val="20"/>
          <w:szCs w:val="20"/>
          <w:color w:val="auto"/>
        </w:rPr>
      </w:pPr>
    </w:p>
    <w:p>
      <w:pPr>
        <w:ind w:right="60" w:firstLine="315"/>
        <w:spacing w:after="0" w:line="247" w:lineRule="auto"/>
        <w:rPr>
          <w:sz w:val="20"/>
          <w:szCs w:val="20"/>
          <w:color w:val="auto"/>
        </w:rPr>
      </w:pPr>
      <w:r>
        <w:rPr>
          <w:rFonts w:ascii="Times New Roman" w:cs="Times New Roman" w:eastAsia="Times New Roman" w:hAnsi="Times New Roman"/>
          <w:sz w:val="18"/>
          <w:szCs w:val="18"/>
          <w:color w:val="auto"/>
        </w:rPr>
        <w:t>The Company enters into interest rate derivative contracts with certain of its commercial borrowers to enable those borrowers to manage their exposure to interest rate fluctuations. To mitigate interest rate risk associated with these derivative contracts, the Company enters into offsetting derivative contract positions with primary dealers. In addition, the Company purchases and sells credit protection under RPAs with the objective of sharing with financial institution counterparties some of the credit exposure related to interest rate derivative contracts entered into with commercial borrowers related to participations purchased or sold. The Company will make or receive payments under these agreements if a customer defaults on an obligation to perform under certain interest rate derivative contracts. The Company also enters into foreign currency forward derivative contracts with commercial borrowers to enable borrowers to manage their exposure to foreign currency fluctuations. The Company enters into offsetting forward contracts with primary dealers to mitigate the foreign currency risk associated with these contracts.</w:t>
      </w:r>
    </w:p>
    <w:p>
      <w:pPr>
        <w:spacing w:after="0" w:line="123" w:lineRule="exact"/>
        <w:rPr>
          <w:sz w:val="20"/>
          <w:szCs w:val="20"/>
          <w:color w:val="auto"/>
        </w:rPr>
      </w:pPr>
    </w:p>
    <w:p>
      <w:pPr>
        <w:ind w:right="240" w:firstLine="315"/>
        <w:spacing w:after="0" w:line="256" w:lineRule="auto"/>
        <w:rPr>
          <w:sz w:val="20"/>
          <w:szCs w:val="20"/>
          <w:color w:val="auto"/>
        </w:rPr>
      </w:pPr>
      <w:r>
        <w:rPr>
          <w:rFonts w:ascii="Times New Roman" w:cs="Times New Roman" w:eastAsia="Times New Roman" w:hAnsi="Times New Roman"/>
          <w:sz w:val="18"/>
          <w:szCs w:val="18"/>
          <w:color w:val="auto"/>
        </w:rPr>
        <w:t>These derivative contracts are not designated as hedging instruments; therefore, changes in the fair value of these derivatives are recognized in earnings. Fees recognized related to these derivative instruments were $18.8 million, $8.8 million and $8.7 million for the years ended December 31, 2025, 2024 and 2023, respectively, and are included in "capital markets income" in the accompanying consolidated statements of income.</w:t>
      </w:r>
    </w:p>
    <w:p>
      <w:pPr>
        <w:spacing w:after="0" w:line="113" w:lineRule="exact"/>
        <w:rPr>
          <w:sz w:val="20"/>
          <w:szCs w:val="20"/>
          <w:color w:val="auto"/>
        </w:rPr>
      </w:pPr>
    </w:p>
    <w:p>
      <w:pPr>
        <w:ind w:right="20" w:firstLine="315"/>
        <w:spacing w:after="0" w:line="247" w:lineRule="auto"/>
        <w:rPr>
          <w:sz w:val="20"/>
          <w:szCs w:val="20"/>
          <w:color w:val="auto"/>
        </w:rPr>
      </w:pPr>
      <w:r>
        <w:rPr>
          <w:rFonts w:ascii="Times New Roman" w:cs="Times New Roman" w:eastAsia="Times New Roman" w:hAnsi="Times New Roman"/>
          <w:sz w:val="18"/>
          <w:szCs w:val="18"/>
          <w:color w:val="auto"/>
        </w:rPr>
        <w:t>The Company may be exposed to credit risk in the event of non-performance by the counterparties to its commercial customer derivative agreements. The Company assesses the credit risk of its financial institution counterparties by monitoring publicly available credit rating and financial information. The Company manages dealer credit risk by entering into derivatives only with primary and highly rated counterparties, the use of ISDA master agreements, central clearing mechanisms and counterparty limits. The agreements contain bilateral collateral arrangements with the amount of collateral to be posted generally governed by the settlement value of outstanding swaps. The Company manages the risk of default by its commercial borrower counterparties through its normal loan underwriting and credit monitoring policies and procedures. The Company does not currently anticipate any significant losses from failure of derivative counterparties to honor their obligations.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derivatives not designated as hedging instruments as of the dates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
        </w:trPr>
        <w:tc>
          <w:tcPr>
            <w:tcW w:w="2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2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line="190" w:lineRule="exact"/>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8"/>
                <w:szCs w:val="18"/>
                <w:b w:val="1"/>
                <w:bCs w:val="1"/>
                <w:color w:val="auto"/>
                <w:vertAlign w:val="superscript"/>
              </w:rPr>
              <w:t>(1)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line="190" w:lineRule="exact"/>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8"/>
                <w:szCs w:val="18"/>
                <w:b w:val="1"/>
                <w:bCs w:val="1"/>
                <w:color w:val="auto"/>
                <w:vertAlign w:val="superscript"/>
              </w:rPr>
              <w:t>(1)</w:t>
            </w:r>
          </w:p>
        </w:tc>
        <w:tc>
          <w:tcPr>
            <w:tcW w:w="860" w:type="dxa"/>
            <w:vAlign w:val="bottom"/>
            <w:tcBorders>
              <w:bottom w:val="single" w:sz="8" w:color="auto"/>
            </w:tcBorders>
          </w:tcPr>
          <w:p>
            <w:pPr>
              <w:spacing w:after="0"/>
              <w:rPr>
                <w:sz w:val="16"/>
                <w:szCs w:val="16"/>
                <w:color w:val="auto"/>
              </w:rPr>
            </w:pPr>
          </w:p>
        </w:tc>
      </w:tr>
      <w:tr>
        <w:trPr>
          <w:trHeight w:val="184"/>
        </w:trPr>
        <w:tc>
          <w:tcPr>
            <w:tcW w:w="2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320" w:type="dxa"/>
            <w:vAlign w:val="bottom"/>
          </w:tcPr>
          <w:p>
            <w:pPr>
              <w:spacing w:after="0"/>
              <w:rPr>
                <w:sz w:val="16"/>
                <w:szCs w:val="16"/>
                <w:color w:val="auto"/>
              </w:rPr>
            </w:pPr>
          </w:p>
        </w:tc>
        <w:tc>
          <w:tcPr>
            <w:tcW w:w="8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320" w:type="dxa"/>
            <w:vAlign w:val="bottom"/>
          </w:tcPr>
          <w:p>
            <w:pPr>
              <w:spacing w:after="0"/>
              <w:rPr>
                <w:sz w:val="16"/>
                <w:szCs w:val="16"/>
                <w:color w:val="auto"/>
              </w:rPr>
            </w:pPr>
          </w:p>
        </w:tc>
        <w:tc>
          <w:tcPr>
            <w:tcW w:w="8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w w:val="97"/>
              </w:rPr>
              <w:t>Liability</w:t>
            </w:r>
          </w:p>
        </w:tc>
      </w:tr>
      <w:tr>
        <w:trPr>
          <w:trHeight w:val="210"/>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Pay-fixed interest rate swaps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4,136,758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2,767,552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69,802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w:t>
            </w:r>
          </w:p>
        </w:tc>
      </w:tr>
      <w:tr>
        <w:trPr>
          <w:trHeight w:val="20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Pay-variable interest rate swaps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4,136,758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2,767,552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10,342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(69,802)</w:t>
            </w:r>
          </w:p>
        </w:tc>
      </w:tr>
      <w:tr>
        <w:trPr>
          <w:trHeight w:val="212"/>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caps and collars purchased</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caps and collars sold</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212"/>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RPAs purchased</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RPAs sold</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28"/>
        </w:trPr>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9,437,677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6,506,902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81,737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(81,858)</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2180" w:type="dxa"/>
            <w:vAlign w:val="bottom"/>
            <w:tcBorders>
              <w:bottom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56" w:lineRule="exact"/>
        <w:rPr>
          <w:sz w:val="20"/>
          <w:szCs w:val="20"/>
          <w:color w:val="auto"/>
        </w:rPr>
      </w:pPr>
    </w:p>
    <w:p>
      <w:pPr>
        <w:ind w:left="320" w:right="140" w:hanging="315"/>
        <w:spacing w:after="0" w:line="287" w:lineRule="auto"/>
        <w:tabs>
          <w:tab w:leader="none" w:pos="31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values of these derivatives are included in other assets and other liabilities in the consolidated balance sheets. The notional amount and fair value of the foreign currency forward derivative contracts not designated as hedging instruments were not significant at December 31, 2025 and 2024.</w:t>
      </w:r>
    </w:p>
    <w:p>
      <w:pPr>
        <w:spacing w:after="0" w:line="105" w:lineRule="exact"/>
        <w:rPr>
          <w:sz w:val="20"/>
          <w:szCs w:val="20"/>
          <w:color w:val="auto"/>
        </w:rPr>
      </w:pPr>
    </w:p>
    <w:p>
      <w:pPr>
        <w:ind w:right="60" w:firstLine="315"/>
        <w:spacing w:after="0" w:line="252" w:lineRule="auto"/>
        <w:rPr>
          <w:sz w:val="20"/>
          <w:szCs w:val="20"/>
          <w:color w:val="auto"/>
        </w:rPr>
      </w:pPr>
      <w:r>
        <w:rPr>
          <w:rFonts w:ascii="Times New Roman" w:cs="Times New Roman" w:eastAsia="Times New Roman" w:hAnsi="Times New Roman"/>
          <w:sz w:val="18"/>
          <w:szCs w:val="18"/>
          <w:color w:val="auto"/>
        </w:rPr>
        <w:t>Some of the Company’s ISDA master agreements with financial institution counterparties contain provisions that permit either counterparty to terminate the agreements and require settlement in the event that regulatory capital ratios fall below certain designated thresholds, upon the initiation of other defined regulatory actions or upon suspension or withdrawal of the Bank’s credit rating. Currently, there are no circumstances that would trigger these provisions of the agreements.</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19" w:name="page120"/>
    <w:bookmarkEnd w:id="119"/>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 netting agreements</w:t>
      </w:r>
    </w:p>
    <w:p>
      <w:pPr>
        <w:spacing w:after="0" w:line="137" w:lineRule="exact"/>
        <w:rPr>
          <w:sz w:val="20"/>
          <w:szCs w:val="20"/>
          <w:color w:val="auto"/>
        </w:rPr>
      </w:pPr>
    </w:p>
    <w:p>
      <w:pPr>
        <w:ind w:right="60" w:firstLine="315"/>
        <w:spacing w:after="0" w:line="268" w:lineRule="auto"/>
        <w:rPr>
          <w:sz w:val="20"/>
          <w:szCs w:val="20"/>
          <w:color w:val="auto"/>
        </w:rPr>
      </w:pPr>
      <w:r>
        <w:rPr>
          <w:rFonts w:ascii="Times New Roman" w:cs="Times New Roman" w:eastAsia="Times New Roman" w:hAnsi="Times New Roman"/>
          <w:sz w:val="18"/>
          <w:szCs w:val="18"/>
          <w:color w:val="auto"/>
        </w:rPr>
        <w:t>The Company does not offset assets and liabilities under master netting agreements for financial reporting purposes. Information on interest rate derivative instruments subject to these agreements is as follows at the dates indicated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5"/>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9"/>
              </w:rPr>
              <w:t>Gross Amounts Not Offset in</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Net Amounts</w:t>
            </w: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80" w:type="dxa"/>
            <w:vAlign w:val="bottom"/>
          </w:tcPr>
          <w:p>
            <w:pPr>
              <w:spacing w:after="0"/>
              <w:rPr>
                <w:sz w:val="13"/>
                <w:szCs w:val="13"/>
                <w:color w:val="auto"/>
              </w:rPr>
            </w:pPr>
          </w:p>
        </w:tc>
        <w:tc>
          <w:tcPr>
            <w:tcW w:w="142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Offset in Balance</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4"/>
                <w:szCs w:val="14"/>
                <w:b w:val="1"/>
                <w:bCs w:val="1"/>
                <w:color w:val="auto"/>
                <w:w w:val="99"/>
              </w:rPr>
              <w:t>Presented in</w:t>
            </w:r>
          </w:p>
        </w:tc>
        <w:tc>
          <w:tcPr>
            <w:tcW w:w="180" w:type="dxa"/>
            <w:vAlign w:val="bottom"/>
          </w:tcPr>
          <w:p>
            <w:pPr>
              <w:spacing w:after="0"/>
              <w:rPr>
                <w:sz w:val="13"/>
                <w:szCs w:val="13"/>
                <w:color w:val="auto"/>
              </w:rPr>
            </w:pPr>
          </w:p>
        </w:tc>
        <w:tc>
          <w:tcPr>
            <w:tcW w:w="112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6" w:lineRule="exact"/>
              <w:rPr>
                <w:sz w:val="20"/>
                <w:szCs w:val="20"/>
                <w:color w:val="auto"/>
              </w:rPr>
            </w:pPr>
            <w:r>
              <w:rPr>
                <w:rFonts w:ascii="Times New Roman" w:cs="Times New Roman" w:eastAsia="Times New Roman" w:hAnsi="Times New Roman"/>
                <w:sz w:val="14"/>
                <w:szCs w:val="14"/>
                <w:b w:val="1"/>
                <w:bCs w:val="1"/>
                <w:color w:val="auto"/>
                <w:w w:val="96"/>
              </w:rPr>
              <w:t>Collateral</w:t>
            </w:r>
          </w:p>
        </w:tc>
        <w:tc>
          <w:tcPr>
            <w:tcW w:w="140" w:type="dxa"/>
            <w:vAlign w:val="bottom"/>
          </w:tcPr>
          <w:p>
            <w:pPr>
              <w:spacing w:after="0"/>
              <w:rPr>
                <w:sz w:val="13"/>
                <w:szCs w:val="13"/>
                <w:color w:val="auto"/>
              </w:rPr>
            </w:pPr>
          </w:p>
        </w:tc>
        <w:tc>
          <w:tcPr>
            <w:tcW w:w="96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Recognized</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Pledged</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6"/>
              </w:rPr>
              <w:t>33,829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562"/>
              <w:spacing w:after="0"/>
              <w:rPr>
                <w:sz w:val="20"/>
                <w:szCs w:val="20"/>
                <w:color w:val="auto"/>
              </w:rPr>
            </w:pPr>
            <w:r>
              <w:rPr>
                <w:rFonts w:ascii="Times New Roman" w:cs="Times New Roman" w:eastAsia="Times New Roman" w:hAnsi="Times New Roman"/>
                <w:sz w:val="18"/>
                <w:szCs w:val="18"/>
                <w:color w:val="auto"/>
                <w:w w:val="96"/>
              </w:rPr>
              <w:t>33,829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19"/>
                <w:szCs w:val="19"/>
                <w:color w:val="auto"/>
              </w:rPr>
            </w:pPr>
          </w:p>
        </w:tc>
        <w:tc>
          <w:tcPr>
            <w:tcW w:w="1300" w:type="dxa"/>
            <w:vAlign w:val="bottom"/>
          </w:tcPr>
          <w:p>
            <w:pPr>
              <w:jc w:val="center"/>
              <w:ind w:left="579"/>
              <w:spacing w:after="0"/>
              <w:rPr>
                <w:sz w:val="20"/>
                <w:szCs w:val="20"/>
                <w:color w:val="auto"/>
              </w:rPr>
            </w:pPr>
            <w:r>
              <w:rPr>
                <w:rFonts w:ascii="Times New Roman" w:cs="Times New Roman" w:eastAsia="Times New Roman" w:hAnsi="Times New Roman"/>
                <w:sz w:val="18"/>
                <w:szCs w:val="18"/>
                <w:color w:val="auto"/>
                <w:w w:val="97"/>
              </w:rPr>
              <w:t>(52,880)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center"/>
              <w:ind w:left="562"/>
              <w:spacing w:after="0"/>
              <w:rPr>
                <w:sz w:val="20"/>
                <w:szCs w:val="20"/>
                <w:color w:val="auto"/>
              </w:rPr>
            </w:pPr>
            <w:r>
              <w:rPr>
                <w:rFonts w:ascii="Times New Roman" w:cs="Times New Roman" w:eastAsia="Times New Roman" w:hAnsi="Times New Roman"/>
                <w:sz w:val="18"/>
                <w:szCs w:val="18"/>
                <w:color w:val="auto"/>
                <w:w w:val="97"/>
              </w:rPr>
              <w:t>(52,880)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26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7"/>
              </w:rPr>
              <w:t>(19,051)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center"/>
              <w:ind w:left="562"/>
              <w:spacing w:after="0"/>
              <w:rPr>
                <w:sz w:val="20"/>
                <w:szCs w:val="20"/>
                <w:color w:val="auto"/>
              </w:rPr>
            </w:pPr>
            <w:r>
              <w:rPr>
                <w:rFonts w:ascii="Times New Roman" w:cs="Times New Roman" w:eastAsia="Times New Roman" w:hAnsi="Times New Roman"/>
                <w:sz w:val="18"/>
                <w:szCs w:val="18"/>
                <w:color w:val="auto"/>
                <w:w w:val="97"/>
              </w:rPr>
              <w:t>(19,051)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5"/>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9"/>
              </w:rPr>
              <w:t>Gross Amounts Not Offset in</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Net Amounts</w:t>
            </w: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8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Offset in Balance</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w w:val="99"/>
              </w:rPr>
              <w:t>Presented in</w:t>
            </w:r>
          </w:p>
        </w:tc>
        <w:tc>
          <w:tcPr>
            <w:tcW w:w="18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w w:val="96"/>
              </w:rPr>
              <w:t>Collateral</w:t>
            </w:r>
          </w:p>
        </w:tc>
        <w:tc>
          <w:tcPr>
            <w:tcW w:w="140" w:type="dxa"/>
            <w:vAlign w:val="bottom"/>
          </w:tcPr>
          <w:p>
            <w:pPr>
              <w:spacing w:after="0"/>
              <w:rPr>
                <w:sz w:val="13"/>
                <w:szCs w:val="13"/>
                <w:color w:val="auto"/>
              </w:rPr>
            </w:pPr>
          </w:p>
        </w:tc>
        <w:tc>
          <w:tcPr>
            <w:tcW w:w="96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Recognized</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Pledged</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6"/>
              </w:rPr>
              <w:t>74,615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562"/>
              <w:spacing w:after="0"/>
              <w:rPr>
                <w:sz w:val="20"/>
                <w:szCs w:val="20"/>
                <w:color w:val="auto"/>
              </w:rPr>
            </w:pPr>
            <w:r>
              <w:rPr>
                <w:rFonts w:ascii="Times New Roman" w:cs="Times New Roman" w:eastAsia="Times New Roman" w:hAnsi="Times New Roman"/>
                <w:sz w:val="18"/>
                <w:szCs w:val="18"/>
                <w:color w:val="auto"/>
                <w:w w:val="96"/>
              </w:rPr>
              <w:t>74,615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19"/>
                <w:szCs w:val="19"/>
                <w:color w:val="auto"/>
              </w:rPr>
            </w:pPr>
          </w:p>
        </w:tc>
        <w:tc>
          <w:tcPr>
            <w:tcW w:w="1300" w:type="dxa"/>
            <w:vAlign w:val="bottom"/>
          </w:tcPr>
          <w:p>
            <w:pPr>
              <w:jc w:val="center"/>
              <w:ind w:left="579"/>
              <w:spacing w:after="0"/>
              <w:rPr>
                <w:sz w:val="20"/>
                <w:szCs w:val="20"/>
                <w:color w:val="auto"/>
              </w:rPr>
            </w:pPr>
            <w:r>
              <w:rPr>
                <w:rFonts w:ascii="Times New Roman" w:cs="Times New Roman" w:eastAsia="Times New Roman" w:hAnsi="Times New Roman"/>
                <w:sz w:val="18"/>
                <w:szCs w:val="18"/>
                <w:color w:val="auto"/>
                <w:w w:val="97"/>
              </w:rPr>
              <w:t>(14,383)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center"/>
              <w:ind w:left="562"/>
              <w:spacing w:after="0"/>
              <w:rPr>
                <w:sz w:val="20"/>
                <w:szCs w:val="20"/>
                <w:color w:val="auto"/>
              </w:rPr>
            </w:pPr>
            <w:r>
              <w:rPr>
                <w:rFonts w:ascii="Times New Roman" w:cs="Times New Roman" w:eastAsia="Times New Roman" w:hAnsi="Times New Roman"/>
                <w:sz w:val="18"/>
                <w:szCs w:val="18"/>
                <w:color w:val="auto"/>
                <w:w w:val="97"/>
              </w:rPr>
              <w:t>(14,383)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26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6"/>
              </w:rPr>
              <w:t>60,232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center"/>
              <w:ind w:left="562"/>
              <w:spacing w:after="0"/>
              <w:rPr>
                <w:sz w:val="20"/>
                <w:szCs w:val="20"/>
                <w:color w:val="auto"/>
              </w:rPr>
            </w:pPr>
            <w:r>
              <w:rPr>
                <w:rFonts w:ascii="Times New Roman" w:cs="Times New Roman" w:eastAsia="Times New Roman" w:hAnsi="Times New Roman"/>
                <w:sz w:val="18"/>
                <w:szCs w:val="18"/>
                <w:color w:val="auto"/>
                <w:w w:val="96"/>
              </w:rPr>
              <w:t>60,232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80" w:firstLine="315"/>
        <w:spacing w:after="0" w:line="256" w:lineRule="auto"/>
        <w:rPr>
          <w:sz w:val="20"/>
          <w:szCs w:val="20"/>
          <w:color w:val="auto"/>
        </w:rPr>
      </w:pPr>
      <w:r>
        <w:rPr>
          <w:rFonts w:ascii="Times New Roman" w:cs="Times New Roman" w:eastAsia="Times New Roman" w:hAnsi="Times New Roman"/>
          <w:sz w:val="18"/>
          <w:szCs w:val="18"/>
          <w:color w:val="auto"/>
        </w:rPr>
        <w:t>The difference between the amounts reported for interest rate swaps subject to master netting agreements and the total fair value of interest rate contract derivative financial instruments reported in the consolidated balance sheets is related to interest rate derivative contracts not subject to master netting agreements.</w:t>
      </w:r>
    </w:p>
    <w:p>
      <w:pPr>
        <w:spacing w:after="0" w:line="17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6"/>
          <w:szCs w:val="16"/>
          <w:b w:val="1"/>
          <w:bCs w:val="1"/>
          <w:color w:val="auto"/>
        </w:rPr>
        <w:t>Stockholders’ Equity</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accumulated other comprehensive income are summarized as follows for the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7"/>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2025</w:t>
            </w: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Tax Effect</w:t>
            </w:r>
          </w:p>
        </w:tc>
        <w:tc>
          <w:tcPr>
            <w:tcW w:w="160" w:type="dxa"/>
            <w:vAlign w:val="bottom"/>
          </w:tcPr>
          <w:p>
            <w:pPr>
              <w:spacing w:after="0"/>
              <w:rPr>
                <w:sz w:val="16"/>
                <w:szCs w:val="16"/>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unrealized gains (losses) on investment securities available for sale:</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holding gain arising during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105,141</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gain on investment securities available for sale, net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17"/>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change in unrealized gains (losses) on investment securities available for sale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138,497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102,488</w:t>
            </w: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in net unrealized gains (losses) on derivative instruments: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holding gain arising during the period</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interest expense on deposits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23"/>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to interest expense on borrowings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interest income on loans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r>
        <w:trPr>
          <w:trHeight w:val="217"/>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change in unrealized gains (losses) on derivative instruments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42"/>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94,946</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566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7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20" w:name="page121"/>
    <w:bookmarkEnd w:id="120"/>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11"/>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2024</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Tax Effect</w:t>
            </w:r>
          </w:p>
        </w:tc>
        <w:tc>
          <w:tcPr>
            <w:tcW w:w="1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unrealized gains (losses) on investment securities available for sale:</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holding gain arising during the period</w:t>
            </w:r>
          </w:p>
        </w:tc>
        <w:tc>
          <w:tcPr>
            <w:tcW w:w="120" w:type="dxa"/>
            <w:vAlign w:val="bottom"/>
          </w:tcPr>
          <w:p>
            <w:pPr>
              <w:spacing w:after="0"/>
              <w:rPr>
                <w:sz w:val="19"/>
                <w:szCs w:val="19"/>
                <w:color w:val="auto"/>
              </w:rPr>
            </w:pPr>
          </w:p>
        </w:tc>
        <w:tc>
          <w:tcPr>
            <w:tcW w:w="1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130,244</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gain on investment securities available for sale, net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change in unrealized gains (losses) on investment securities available for sale</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(33,585)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in net unrealized gains (losses) on derivative instruments:</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holding gain arising during the period</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(8,240)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interest expense on deposits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(13,494)</w:t>
            </w:r>
          </w:p>
        </w:tc>
        <w:tc>
          <w:tcPr>
            <w:tcW w:w="0" w:type="dxa"/>
            <w:vAlign w:val="bottom"/>
          </w:tcPr>
          <w:p>
            <w:pPr>
              <w:spacing w:after="0"/>
              <w:rPr>
                <w:sz w:val="1"/>
                <w:szCs w:val="1"/>
                <w:color w:val="auto"/>
              </w:rPr>
            </w:pPr>
          </w:p>
        </w:tc>
      </w:tr>
      <w:tr>
        <w:trPr>
          <w:trHeight w:val="22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to interest expense on borrowings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12,497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(35,567)</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interest income on loans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change in unrealized gains (losses) on derivative instruments</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(22,705)</w:t>
            </w:r>
          </w:p>
        </w:tc>
        <w:tc>
          <w:tcPr>
            <w:tcW w:w="0" w:type="dxa"/>
            <w:vAlign w:val="bottom"/>
          </w:tcPr>
          <w:p>
            <w:pPr>
              <w:spacing w:after="0"/>
              <w:rPr>
                <w:sz w:val="1"/>
                <w:szCs w:val="1"/>
                <w:color w:val="auto"/>
              </w:rPr>
            </w:pPr>
          </w:p>
        </w:tc>
      </w:tr>
      <w:tr>
        <w:trPr>
          <w:trHeight w:val="24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11"/>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Tax Effect</w:t>
            </w:r>
          </w:p>
        </w:tc>
        <w:tc>
          <w:tcPr>
            <w:tcW w:w="1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unrealized gains (losses) on investment securities available for sale:</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holding gain arising during the period</w:t>
            </w:r>
          </w:p>
        </w:tc>
        <w:tc>
          <w:tcPr>
            <w:tcW w:w="120" w:type="dxa"/>
            <w:vAlign w:val="bottom"/>
          </w:tcPr>
          <w:p>
            <w:pPr>
              <w:spacing w:after="0"/>
              <w:rPr>
                <w:sz w:val="19"/>
                <w:szCs w:val="19"/>
                <w:color w:val="auto"/>
              </w:rPr>
            </w:pPr>
          </w:p>
        </w:tc>
        <w:tc>
          <w:tcPr>
            <w:tcW w:w="1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141,227</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(36,719)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gain on investment securities available for sale, net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change in unrealized gains (losses) on investment securities available for sale</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(36,247)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in net unrealized gains (losses) on derivative instruments:</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holding gain arising during the period</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(9,123)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interest expense on deposits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(17,441)</w:t>
            </w:r>
          </w:p>
        </w:tc>
        <w:tc>
          <w:tcPr>
            <w:tcW w:w="0" w:type="dxa"/>
            <w:vAlign w:val="bottom"/>
          </w:tcPr>
          <w:p>
            <w:pPr>
              <w:spacing w:after="0"/>
              <w:rPr>
                <w:sz w:val="1"/>
                <w:szCs w:val="1"/>
                <w:color w:val="auto"/>
              </w:rPr>
            </w:pPr>
          </w:p>
        </w:tc>
      </w:tr>
      <w:tr>
        <w:trPr>
          <w:trHeight w:val="223"/>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Amounts reclassified to interest expense on borrowings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11,645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(33,145)</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interest income on loans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change in unrealized gains (losses) on derivative instruments</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(22,681)</w:t>
            </w:r>
          </w:p>
        </w:tc>
        <w:tc>
          <w:tcPr>
            <w:tcW w:w="0" w:type="dxa"/>
            <w:vAlign w:val="bottom"/>
          </w:tcPr>
          <w:p>
            <w:pPr>
              <w:spacing w:after="0"/>
              <w:rPr>
                <w:sz w:val="1"/>
                <w:szCs w:val="1"/>
                <w:color w:val="auto"/>
              </w:rPr>
            </w:pPr>
          </w:p>
        </w:tc>
      </w:tr>
      <w:tr>
        <w:trPr>
          <w:trHeight w:val="24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80,484</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categories of AOCI and changes therein are presented below for the periods indicated (in thousands):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Unrealized Gain (Loss) on</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Unrealized Gain (Loss)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Investment Securities</w:t>
            </w:r>
          </w:p>
        </w:tc>
        <w:tc>
          <w:tcPr>
            <w:tcW w:w="1180" w:type="dxa"/>
            <w:vAlign w:val="bottom"/>
            <w:gridSpan w:val="3"/>
          </w:tcPr>
          <w:p>
            <w:pPr>
              <w:jc w:val="center"/>
              <w:ind w:left="257"/>
              <w:spacing w:after="0" w:line="143" w:lineRule="exact"/>
              <w:rPr>
                <w:sz w:val="20"/>
                <w:szCs w:val="20"/>
                <w:color w:val="auto"/>
              </w:rPr>
            </w:pPr>
            <w:r>
              <w:rPr>
                <w:rFonts w:ascii="Times New Roman" w:cs="Times New Roman" w:eastAsia="Times New Roman" w:hAnsi="Times New Roman"/>
                <w:sz w:val="14"/>
                <w:szCs w:val="14"/>
                <w:b w:val="1"/>
                <w:bCs w:val="1"/>
                <w:color w:val="auto"/>
                <w:w w:val="99"/>
              </w:rPr>
              <w:t>on Derivative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Available for Sale</w:t>
            </w:r>
          </w:p>
        </w:tc>
        <w:tc>
          <w:tcPr>
            <w:tcW w:w="1180" w:type="dxa"/>
            <w:vAlign w:val="bottom"/>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(498,911)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61,006</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103,165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(395,746)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95,585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(300,161)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102,488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w w:val="98"/>
              </w:rPr>
              <w:t>(7,542)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6"/>
          <w:szCs w:val="16"/>
          <w:b w:val="1"/>
          <w:bCs w:val="1"/>
          <w:color w:val="auto"/>
        </w:rPr>
        <w:t>Equity Based and Other Compensation Plans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Equity Based Compensation Plans</w:t>
      </w:r>
    </w:p>
    <w:p>
      <w:pPr>
        <w:spacing w:after="0" w:line="139" w:lineRule="exact"/>
        <w:rPr>
          <w:sz w:val="20"/>
          <w:szCs w:val="20"/>
          <w:color w:val="auto"/>
        </w:rPr>
      </w:pPr>
    </w:p>
    <w:p>
      <w:pPr>
        <w:ind w:right="60" w:firstLine="315"/>
        <w:spacing w:after="0" w:line="256" w:lineRule="auto"/>
        <w:rPr>
          <w:sz w:val="20"/>
          <w:szCs w:val="20"/>
          <w:color w:val="auto"/>
        </w:rPr>
      </w:pPr>
      <w:r>
        <w:rPr>
          <w:rFonts w:ascii="Times New Roman" w:cs="Times New Roman" w:eastAsia="Times New Roman" w:hAnsi="Times New Roman"/>
          <w:sz w:val="18"/>
          <w:szCs w:val="18"/>
          <w:color w:val="auto"/>
        </w:rPr>
        <w:t>In 2023, the Board of Directors and the Company's stockholders approved the 2023 Plan. Previously, awards were administered under the 2014 Plan or the 2010 Plan. The Plans are administered by the Board of Directors or a committee thereof and provide for the grant of non-qualified stock options, SARs, restricted shares, deferred shares, performance shares,</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21" w:name="page122"/>
    <w:bookmarkEnd w:id="121"/>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unrestricted shares and other share-based awards to selected employees, directors or independent contractors of the Company and its affiliates. As of December 31, 2025, no further awards are available for issuance under the 2014 or 2010 plans although unvested awards issued under the 2014 plan are still outstanding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The number of shares of common stock authorized for award under the 2023 Plan is 3,766,764, of which 992,466 shares remain available for issuance as of December 31, 2025. Shares of common stock delivered under the plans may consist of authorized but unissued shares or previously issued shares reacquired by the Company. Unvested awards become fully vested in the event of a change in control, subject to a double trigger, as defined.</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 Related to Equity Based Awards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compensation cost related to equity based awards for the periods indicated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 of equity based awards: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RSAs</w:t>
            </w:r>
          </w:p>
        </w:tc>
        <w:tc>
          <w:tcPr>
            <w:tcW w:w="86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15,362</w:t>
            </w:r>
          </w:p>
        </w:tc>
        <w:tc>
          <w:tcPr>
            <w:tcW w:w="4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16,122</w:t>
            </w:r>
          </w:p>
        </w:tc>
      </w:tr>
      <w:tr>
        <w:trPr>
          <w:trHeight w:val="22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 share-based awards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2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Non-executive RSUs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r>
      <w:tr>
        <w:trPr>
          <w:trHeight w:val="21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cost of equity based awards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32,792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tax benefits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(8,526)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w:t>
            </w:r>
          </w:p>
        </w:tc>
      </w:tr>
      <w:tr>
        <w:trPr>
          <w:trHeight w:val="242"/>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 of equity based awards, net of tax</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24,266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Non-Executive Share-Based Awards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RSAs</w:t>
      </w:r>
    </w:p>
    <w:p>
      <w:pPr>
        <w:spacing w:after="0" w:line="150" w:lineRule="exact"/>
        <w:rPr>
          <w:sz w:val="20"/>
          <w:szCs w:val="20"/>
          <w:color w:val="auto"/>
        </w:rPr>
      </w:pPr>
    </w:p>
    <w:p>
      <w:pPr>
        <w:ind w:right="260" w:firstLine="315"/>
        <w:spacing w:after="0" w:line="268" w:lineRule="auto"/>
        <w:rPr>
          <w:sz w:val="20"/>
          <w:szCs w:val="20"/>
          <w:color w:val="auto"/>
        </w:rPr>
      </w:pPr>
      <w:r>
        <w:rPr>
          <w:rFonts w:ascii="Times New Roman" w:cs="Times New Roman" w:eastAsia="Times New Roman" w:hAnsi="Times New Roman"/>
          <w:sz w:val="18"/>
          <w:szCs w:val="18"/>
          <w:color w:val="auto"/>
        </w:rPr>
        <w:t>RSAs are generally valued at the closing price of the Company's common stock on the date of grant. All awards vest in equal annual installments over a period of four years from the date of grant except awards granted to the Company's Board of Directors, which vest over a period of one year.</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Non-executive RSUs</w:t>
      </w:r>
    </w:p>
    <w:p>
      <w:pPr>
        <w:spacing w:after="0" w:line="150" w:lineRule="exact"/>
        <w:rPr>
          <w:sz w:val="20"/>
          <w:szCs w:val="20"/>
          <w:color w:val="auto"/>
        </w:rPr>
      </w:pPr>
    </w:p>
    <w:p>
      <w:pPr>
        <w:ind w:right="80" w:firstLine="315"/>
        <w:spacing w:after="0" w:line="283" w:lineRule="auto"/>
        <w:rPr>
          <w:sz w:val="20"/>
          <w:szCs w:val="20"/>
          <w:color w:val="auto"/>
        </w:rPr>
      </w:pPr>
      <w:r>
        <w:rPr>
          <w:rFonts w:ascii="Times New Roman" w:cs="Times New Roman" w:eastAsia="Times New Roman" w:hAnsi="Times New Roman"/>
          <w:sz w:val="16"/>
          <w:szCs w:val="16"/>
          <w:color w:val="auto"/>
        </w:rPr>
        <w:t>The Company issues RSUs based on results of the Company's annual incentive compensation arrangements for certain employees other than those eligible for the executive share-based awards discussed below. These incentive compensation plans provide for a combination of cash payments and RSUs following the end of each annual performance period. The dollar value of share awards to be granted is based on the achievement of performance criteria established in the incentive arrangements. The number of shares of common stock to be awarded is variable, typically based on the closing price of the Company's stock on the date of grant; therefore, these awards are initially classified as liability instruments, with compensation cost recognized from the beginning of the performance period. Awards vest in equal installments over a period of four years from the date of grant. Non-executive RSUs may be settled in shares or cash at the Company's option. To date, all such awards have been settled in shares. The non-executive RSUs do not accumulate dividends prior to vesting.</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22" w:name="page123"/>
    <w:bookmarkEnd w:id="122"/>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activity related to non-executive share-based awards for the periods indicated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RSA</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Non-Executive RSU</w:t>
            </w:r>
          </w:p>
        </w:tc>
      </w:tr>
      <w:tr>
        <w:trPr>
          <w:trHeight w:val="24"/>
        </w:trPr>
        <w:tc>
          <w:tcPr>
            <w:tcW w:w="5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26"/>
        </w:trPr>
        <w:tc>
          <w:tcPr>
            <w:tcW w:w="5120" w:type="dxa"/>
            <w:vAlign w:val="bottom"/>
          </w:tcPr>
          <w:p>
            <w:pPr>
              <w:spacing w:after="0"/>
              <w:rPr>
                <w:sz w:val="10"/>
                <w:szCs w:val="10"/>
                <w:color w:val="auto"/>
              </w:rPr>
            </w:pPr>
          </w:p>
        </w:tc>
        <w:tc>
          <w:tcPr>
            <w:tcW w:w="156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Number of Share</w:t>
            </w: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94"/>
              <w:spacing w:after="0" w:line="12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0"/>
                <w:szCs w:val="10"/>
                <w:color w:val="auto"/>
              </w:rPr>
            </w:pPr>
          </w:p>
        </w:tc>
        <w:tc>
          <w:tcPr>
            <w:tcW w:w="154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Number of Share</w:t>
            </w: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94"/>
              <w:spacing w:after="0" w:line="127"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51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22"/>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 awards outstanding,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 or 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 awards outstanding, December 31,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r>
      <w:tr>
        <w:trPr>
          <w:trHeight w:val="223"/>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 or 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 awards outstanding, December 31,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r>
      <w:tr>
        <w:trPr>
          <w:trHeight w:val="223"/>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 or 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(113,016)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42"/>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 awards outstanding,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616,070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14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closing price of the Company's stock on the date of grant for shares granted and the aggregate grant date fair value of shares vesting for the periods indicated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4"/>
        </w:trPr>
        <w:tc>
          <w:tcPr>
            <w:tcW w:w="5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5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Range of the closing price on date of grant</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$34.43 - $40.08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$26.23 - $40.30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$16.94 - $35.39</w:t>
            </w: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grant date fair value of shares vesting</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w:t>
            </w:r>
          </w:p>
        </w:tc>
      </w:tr>
    </w:tbl>
    <w:p>
      <w:pPr>
        <w:spacing w:after="0" w:line="200" w:lineRule="exact"/>
        <w:rPr>
          <w:sz w:val="20"/>
          <w:szCs w:val="20"/>
          <w:color w:val="auto"/>
        </w:rPr>
      </w:pPr>
    </w:p>
    <w:p>
      <w:pPr>
        <w:ind w:right="240" w:firstLine="315"/>
        <w:spacing w:after="0" w:line="268" w:lineRule="auto"/>
        <w:rPr>
          <w:sz w:val="20"/>
          <w:szCs w:val="20"/>
          <w:color w:val="auto"/>
        </w:rPr>
      </w:pPr>
      <w:r>
        <w:rPr>
          <w:rFonts w:ascii="Times New Roman" w:cs="Times New Roman" w:eastAsia="Times New Roman" w:hAnsi="Times New Roman"/>
          <w:sz w:val="18"/>
          <w:szCs w:val="18"/>
          <w:color w:val="auto"/>
        </w:rPr>
        <w:t>The total unrecognized compensation cost of $34.6 million for all RSAs and non-executive RSUs outstanding at December 31, 2025, will be recognized over a weighted average remaining period of 2.4 years.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Executive share-based awards</w:t>
      </w:r>
    </w:p>
    <w:p>
      <w:pPr>
        <w:spacing w:after="0" w:line="152" w:lineRule="exact"/>
        <w:rPr>
          <w:sz w:val="20"/>
          <w:szCs w:val="20"/>
          <w:color w:val="auto"/>
        </w:rPr>
      </w:pPr>
    </w:p>
    <w:p>
      <w:pPr>
        <w:ind w:firstLine="315"/>
        <w:spacing w:after="0" w:line="248" w:lineRule="auto"/>
        <w:rPr>
          <w:sz w:val="20"/>
          <w:szCs w:val="20"/>
          <w:color w:val="auto"/>
        </w:rPr>
      </w:pPr>
      <w:r>
        <w:rPr>
          <w:rFonts w:ascii="Times New Roman" w:cs="Times New Roman" w:eastAsia="Times New Roman" w:hAnsi="Times New Roman"/>
          <w:sz w:val="18"/>
          <w:szCs w:val="18"/>
          <w:color w:val="auto"/>
        </w:rPr>
        <w:t>Certain of the Company's executives are eligible to receive annual awards of RSUs and PSUs (collectively, the "share units"). Annual awards of RSUs represent a fixed number of shares and generally vest on December 31st in equal tranches over four years for grant periods prior to 2023, and over three years for awards issued from 2023 onwards. PSUs are initially granted based on a target value. The number of PSUs that ultimately vest at the end of the performance measurement period will be based on the achievement of performance criteria pre-established by the Compensation Committee of the Board of Directors. Upon vesting, the share units will be converted to common stock on a one-for-one basis, or may be settled in cash at the Company's option. The share units will accumulate dividends declared on the Company's common stock from the date of grant to be paid subsequent to vesting.</w:t>
      </w:r>
    </w:p>
    <w:p>
      <w:pPr>
        <w:spacing w:after="0" w:line="123" w:lineRule="exact"/>
        <w:rPr>
          <w:sz w:val="20"/>
          <w:szCs w:val="20"/>
          <w:color w:val="auto"/>
        </w:rPr>
      </w:pPr>
    </w:p>
    <w:p>
      <w:pPr>
        <w:ind w:right="120" w:firstLine="315"/>
        <w:spacing w:after="0" w:line="249" w:lineRule="auto"/>
        <w:rPr>
          <w:sz w:val="20"/>
          <w:szCs w:val="20"/>
          <w:color w:val="auto"/>
        </w:rPr>
      </w:pPr>
      <w:r>
        <w:rPr>
          <w:rFonts w:ascii="Times New Roman" w:cs="Times New Roman" w:eastAsia="Times New Roman" w:hAnsi="Times New Roman"/>
          <w:sz w:val="18"/>
          <w:szCs w:val="18"/>
          <w:color w:val="auto"/>
        </w:rPr>
        <w:t>As a result of the majority of previous settlements being in cash, all executive RSUs and PSUs have been determined to be liability instruments and are remeasured at fair value each reporting period until the awards are settled. The RSUs are valued based on the closing price of the Company's common stock at the reporting date. The PSUs are valued based on the closing price of the Company's common stock at the reporting date net of a discount related to any applicable market conditions, considering the probability of meeting the defined performance conditions. Compensation cost related to PSUs is recognized during the performance period based on the probable outcome of the respective performance conditions.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23" w:name="page124"/>
    <w:bookmarkEnd w:id="123"/>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activity related to executive share-based awards for the periods indicated follows: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15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RSU</w:t>
            </w: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PSU</w:t>
            </w:r>
          </w:p>
        </w:tc>
      </w:tr>
      <w:tr>
        <w:trPr>
          <w:trHeight w:val="24"/>
        </w:trPr>
        <w:tc>
          <w:tcPr>
            <w:tcW w:w="8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executive share-based awards outstanding, December 31, 2022</w:t>
            </w:r>
          </w:p>
        </w:tc>
        <w:tc>
          <w:tcPr>
            <w:tcW w:w="146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108,830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237,535</w:t>
            </w: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w w:val="99"/>
              </w:rPr>
              <w:t>136,778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136,778</w:t>
            </w:r>
          </w:p>
        </w:tc>
      </w:tr>
      <w:tr>
        <w:trPr>
          <w:trHeight w:val="223"/>
        </w:trPr>
        <w:tc>
          <w:tcPr>
            <w:tcW w:w="818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2"/>
                <w:szCs w:val="22"/>
                <w:color w:val="auto"/>
                <w:vertAlign w:val="superscript"/>
              </w:rPr>
              <w:t>(1)</w:t>
            </w:r>
          </w:p>
        </w:tc>
        <w:tc>
          <w:tcPr>
            <w:tcW w:w="1460" w:type="dxa"/>
            <w:vAlign w:val="bottom"/>
            <w:tcBorders>
              <w:bottom w:val="single" w:sz="8" w:color="auto"/>
            </w:tcBorders>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6"/>
              </w:rPr>
              <w:t>(104,976)</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(106,731)</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executive share-based awards outstanding, December 31, 2023</w:t>
            </w:r>
          </w:p>
        </w:tc>
        <w:tc>
          <w:tcPr>
            <w:tcW w:w="146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w w:val="99"/>
              </w:rPr>
              <w:t>140,632</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267,582</w:t>
            </w: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105,173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105,173</w:t>
            </w:r>
          </w:p>
        </w:tc>
      </w:tr>
      <w:tr>
        <w:trPr>
          <w:trHeight w:val="223"/>
        </w:trPr>
        <w:tc>
          <w:tcPr>
            <w:tcW w:w="8180" w:type="dxa"/>
            <w:vAlign w:val="bottom"/>
            <w:tcBorders>
              <w:bottom w:val="single" w:sz="8" w:color="CCEEFF"/>
            </w:tcBorders>
          </w:tcPr>
          <w:p>
            <w:pPr>
              <w:ind w:left="140"/>
              <w:spacing w:after="0" w:line="223"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2"/>
                <w:szCs w:val="22"/>
                <w:color w:val="auto"/>
                <w:vertAlign w:val="superscript"/>
              </w:rPr>
              <w:t>(1)</w:t>
            </w:r>
          </w:p>
        </w:tc>
        <w:tc>
          <w:tcPr>
            <w:tcW w:w="1460" w:type="dxa"/>
            <w:vAlign w:val="bottom"/>
            <w:tcBorders>
              <w:bottom w:val="single" w:sz="8" w:color="auto"/>
            </w:tcBorders>
          </w:tcPr>
          <w:p>
            <w:pPr>
              <w:jc w:val="center"/>
              <w:ind w:left="654"/>
              <w:spacing w:after="0"/>
              <w:rPr>
                <w:sz w:val="20"/>
                <w:szCs w:val="20"/>
                <w:color w:val="auto"/>
              </w:rPr>
            </w:pPr>
            <w:r>
              <w:rPr>
                <w:rFonts w:ascii="Times New Roman" w:cs="Times New Roman" w:eastAsia="Times New Roman" w:hAnsi="Times New Roman"/>
                <w:sz w:val="18"/>
                <w:szCs w:val="18"/>
                <w:color w:val="auto"/>
                <w:w w:val="96"/>
              </w:rPr>
              <w:t>(113,351)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(63,814)</w:t>
            </w:r>
          </w:p>
        </w:tc>
      </w:tr>
      <w:tr>
        <w:trPr>
          <w:trHeight w:val="21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executive share-based awards outstanding, December 31, 2024</w:t>
            </w:r>
          </w:p>
        </w:tc>
        <w:tc>
          <w:tcPr>
            <w:tcW w:w="146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132,454</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308,941</w:t>
            </w:r>
          </w:p>
        </w:tc>
      </w:tr>
      <w:tr>
        <w:trPr>
          <w:trHeight w:val="223"/>
        </w:trPr>
        <w:tc>
          <w:tcPr>
            <w:tcW w:w="818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(2)</w:t>
            </w:r>
          </w:p>
        </w:tc>
        <w:tc>
          <w:tcPr>
            <w:tcW w:w="146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5"/>
              </w:rPr>
              <w:t>114,273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87,463</w:t>
            </w:r>
          </w:p>
        </w:tc>
      </w:tr>
      <w:tr>
        <w:trPr>
          <w:trHeight w:val="223"/>
        </w:trPr>
        <w:tc>
          <w:tcPr>
            <w:tcW w:w="818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2"/>
                <w:szCs w:val="22"/>
                <w:color w:val="auto"/>
                <w:vertAlign w:val="superscript"/>
              </w:rPr>
              <w:t>(3)</w:t>
            </w:r>
          </w:p>
        </w:tc>
        <w:tc>
          <w:tcPr>
            <w:tcW w:w="1460" w:type="dxa"/>
            <w:vAlign w:val="bottom"/>
            <w:tcBorders>
              <w:bottom w:val="single" w:sz="8" w:color="auto"/>
            </w:tcBorders>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6"/>
              </w:rPr>
              <w:t>(126,551)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(203,768)</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executive share-based awards outstanding, December 31, 2025</w:t>
            </w:r>
          </w:p>
        </w:tc>
        <w:tc>
          <w:tcPr>
            <w:tcW w:w="146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9"/>
              </w:rPr>
              <w:t>120,176</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192,636</w:t>
            </w:r>
          </w:p>
        </w:tc>
      </w:tr>
      <w:tr>
        <w:trPr>
          <w:trHeight w:val="20"/>
        </w:trPr>
        <w:tc>
          <w:tcPr>
            <w:tcW w:w="8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158750</wp:posOffset>
            </wp:positionV>
            <wp:extent cx="13773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312" w:lineRule="exact"/>
        <w:rPr>
          <w:sz w:val="20"/>
          <w:szCs w:val="20"/>
          <w:color w:val="auto"/>
        </w:rPr>
      </w:pPr>
    </w:p>
    <w:p>
      <w:pPr>
        <w:ind w:left="320" w:hanging="315"/>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RSU an PSU units vested in 2023 and 2024 were settled in cash.</w:t>
      </w:r>
    </w:p>
    <w:p>
      <w:pPr>
        <w:spacing w:after="0" w:line="6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26,810 shares granted were an off-cycle grant with a three year vesting period on the anniversary of the grant date.</w:t>
      </w:r>
    </w:p>
    <w:p>
      <w:pPr>
        <w:spacing w:after="0" w:line="6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vested on December 31, 2025 and are expected to settle in cash in the first quarter of 2026. Vested PSUs assumes satisfaction of performance goals at a target level.</w:t>
      </w:r>
    </w:p>
    <w:p>
      <w:pPr>
        <w:spacing w:after="0" w:line="14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The total liability for these executive share-based awards was $19.2 million at December 31, 2025. The total unrecognized compensation cost of</w:t>
      </w:r>
    </w:p>
    <w:p>
      <w:pPr>
        <w:spacing w:after="0" w:line="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$8.3 million for unvested executive share-based awards at December 31, 2025 will be recognized over a weighted average remaining period of 1.5 years.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52" w:lineRule="exact"/>
        <w:rPr>
          <w:sz w:val="20"/>
          <w:szCs w:val="20"/>
          <w:color w:val="auto"/>
        </w:rPr>
      </w:pPr>
    </w:p>
    <w:p>
      <w:pPr>
        <w:ind w:firstLine="315"/>
        <w:spacing w:after="0" w:line="281" w:lineRule="auto"/>
        <w:rPr>
          <w:sz w:val="20"/>
          <w:szCs w:val="20"/>
          <w:color w:val="auto"/>
        </w:rPr>
      </w:pPr>
      <w:r>
        <w:rPr>
          <w:rFonts w:ascii="Times New Roman" w:cs="Times New Roman" w:eastAsia="Times New Roman" w:hAnsi="Times New Roman"/>
          <w:sz w:val="16"/>
          <w:szCs w:val="16"/>
          <w:color w:val="auto"/>
        </w:rPr>
        <w:t>The Company has a non-qualified deferred compensation plan for a group of key management or highly compensated employees whereby a participant, upon election, may defer a portion of eligible compensation. The deferred compensation plan provides for discretionary Company contributions. Generally, the Company has elected not to make contributions. The Company credits each participant's account with income based on either an annual interest rate determined by the Company's Compensation Committee or returns of selected investment portfolios, as elected by the participant. A participant's elective deferrals and interest thereon are at all times 100% vested. Company contributions and interest thereon will become 100% vested upon the earlier of a change in control, as defined, or the participant's death, disability, attainment of normal retirement age or the completion of two years of service. Participant deferrals and any associated earnings will be paid upon separation from service or based on a specified distribution schedule, as elected by the participant. Deferred compensation liabilities of $51 million and $46 million were included in other liabilities in the accompanying consolidated balance sheets at December 31, 2025 and 2024, respectively. Deferred compensation expense was not material for the years ended December 31, 2025, 2024 and 2023.</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BankUnited 401(k) Plan</w:t>
      </w:r>
    </w:p>
    <w:p>
      <w:pPr>
        <w:spacing w:after="0" w:line="139" w:lineRule="exact"/>
        <w:rPr>
          <w:sz w:val="20"/>
          <w:szCs w:val="20"/>
          <w:color w:val="auto"/>
        </w:rPr>
      </w:pPr>
    </w:p>
    <w:p>
      <w:pPr>
        <w:ind w:right="60" w:firstLine="315"/>
        <w:spacing w:after="0" w:line="249" w:lineRule="auto"/>
        <w:rPr>
          <w:sz w:val="20"/>
          <w:szCs w:val="20"/>
          <w:color w:val="auto"/>
        </w:rPr>
      </w:pPr>
      <w:r>
        <w:rPr>
          <w:rFonts w:ascii="Times New Roman" w:cs="Times New Roman" w:eastAsia="Times New Roman" w:hAnsi="Times New Roman"/>
          <w:sz w:val="18"/>
          <w:szCs w:val="18"/>
          <w:color w:val="auto"/>
        </w:rPr>
        <w:t>Under the terms of the 401(k) Plan sponsored by the Company, eligible employees may contribute a portion of compensation not exceeding the limits set by law. Employees are eligible to participate in the plan after one month of service. The 401(k) Plan allows a matching employer contribution equal to 100% of elective deferrals that do not exceed 1% of compensation, plus 70% of elective deferrals that exceed 1% but are less than 6% of compensation. Matching contributions are fully vested after two years of service. Matching contributions to the 401(k) Plan made by the Company were not material for the years ended December 31, 2025, 2024 and 2023.</w:t>
      </w:r>
    </w:p>
    <w:p>
      <w:pPr>
        <w:spacing w:after="0" w:line="18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6"/>
          <w:szCs w:val="16"/>
          <w:b w:val="1"/>
          <w:bCs w:val="1"/>
          <w:color w:val="auto"/>
        </w:rPr>
        <w:t>Regulatory Requirements and Restrictions</w:t>
      </w:r>
    </w:p>
    <w:p>
      <w:pPr>
        <w:spacing w:after="0" w:line="163" w:lineRule="exact"/>
        <w:rPr>
          <w:sz w:val="20"/>
          <w:szCs w:val="20"/>
          <w:color w:val="auto"/>
        </w:rPr>
      </w:pPr>
    </w:p>
    <w:p>
      <w:pPr>
        <w:ind w:right="120" w:firstLine="315"/>
        <w:spacing w:after="0" w:line="252"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24" w:name="page125"/>
    <w:bookmarkEnd w:id="124"/>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8"/>
          <w:szCs w:val="18"/>
          <w:color w:val="auto"/>
        </w:rPr>
        <w:t>specific capital guidelines that involve quantitative measures of assets, liabilities and certain off-balance-sheet items calculated pursuant to regulation. The capital amounts and classification also are subject to qualitative judgments by the regulators about components, risk weightings and other factors. Banking regulations identify five capital categories for insured depository institutions: well-capitalized, adequately capitalized, undercapitalized, significantly undercapitalized and critically undercapitalized. As of December 31, 2025 and 2024, all capital ratios of the Company and the Bank exceeded the "well capitalized" levels under the regulatory framework for prompt corrective action. Quantitative measures established by regulation to ensure capital adequacy require the Company and the Bank to maintain minimum amounts and ratios of total, common equity tier 1 and tier 1 capital (as defined in the regulations) to risk-weighted assets (as defined), and of tier 1 capital to average tangible assets (leverage ratio).</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provide information regarding regulatory capital for the Company at the dates indicated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8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Required to be</w:t>
            </w:r>
          </w:p>
        </w:tc>
        <w:tc>
          <w:tcPr>
            <w:tcW w:w="180" w:type="dxa"/>
            <w:vAlign w:val="bottom"/>
          </w:tcPr>
          <w:p>
            <w:pPr>
              <w:spacing w:after="0"/>
              <w:rPr>
                <w:sz w:val="10"/>
                <w:szCs w:val="10"/>
                <w:color w:val="auto"/>
              </w:rPr>
            </w:pPr>
          </w:p>
        </w:tc>
        <w:tc>
          <w:tcPr>
            <w:tcW w:w="1960" w:type="dxa"/>
            <w:vAlign w:val="bottom"/>
            <w:gridSpan w:val="5"/>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9"/>
              </w:rPr>
              <w:t>Required to be</w:t>
            </w:r>
          </w:p>
        </w:tc>
        <w:tc>
          <w:tcPr>
            <w:tcW w:w="120" w:type="dxa"/>
            <w:vAlign w:val="bottom"/>
          </w:tcPr>
          <w:p>
            <w:pPr>
              <w:spacing w:after="0"/>
              <w:rPr>
                <w:sz w:val="10"/>
                <w:szCs w:val="10"/>
                <w:color w:val="auto"/>
              </w:rPr>
            </w:pPr>
          </w:p>
        </w:tc>
        <w:tc>
          <w:tcPr>
            <w:tcW w:w="1960" w:type="dxa"/>
            <w:vAlign w:val="bottom"/>
            <w:gridSpan w:val="4"/>
          </w:tcPr>
          <w:p>
            <w:pPr>
              <w:jc w:val="center"/>
              <w:ind w:right="42"/>
              <w:spacing w:after="0" w:line="125" w:lineRule="exact"/>
              <w:rPr>
                <w:sz w:val="20"/>
                <w:szCs w:val="20"/>
                <w:color w:val="auto"/>
              </w:rPr>
            </w:pPr>
            <w:r>
              <w:rPr>
                <w:rFonts w:ascii="Times New Roman" w:cs="Times New Roman" w:eastAsia="Times New Roman" w:hAnsi="Times New Roman"/>
                <w:sz w:val="14"/>
                <w:szCs w:val="14"/>
                <w:b w:val="1"/>
                <w:bCs w:val="1"/>
                <w:color w:val="auto"/>
                <w:w w:val="99"/>
              </w:rPr>
              <w:t>Required to be Considered</w:t>
            </w:r>
          </w:p>
        </w:tc>
        <w:tc>
          <w:tcPr>
            <w:tcW w:w="0" w:type="dxa"/>
            <w:vAlign w:val="bottom"/>
          </w:tcPr>
          <w:p>
            <w:pPr>
              <w:spacing w:after="0"/>
              <w:rPr>
                <w:sz w:val="1"/>
                <w:szCs w:val="1"/>
                <w:color w:val="auto"/>
              </w:rPr>
            </w:pPr>
          </w:p>
        </w:tc>
      </w:tr>
      <w:tr>
        <w:trPr>
          <w:trHeight w:val="145"/>
        </w:trPr>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left="385"/>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Considered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left="465"/>
              <w:spacing w:after="0" w:line="145" w:lineRule="exact"/>
              <w:rPr>
                <w:sz w:val="20"/>
                <w:szCs w:val="20"/>
                <w:color w:val="auto"/>
              </w:rPr>
            </w:pPr>
            <w:r>
              <w:rPr>
                <w:rFonts w:ascii="Times New Roman" w:cs="Times New Roman" w:eastAsia="Times New Roman" w:hAnsi="Times New Roman"/>
                <w:sz w:val="14"/>
                <w:szCs w:val="14"/>
                <w:b w:val="1"/>
                <w:bCs w:val="1"/>
                <w:color w:val="auto"/>
                <w:w w:val="99"/>
              </w:rPr>
              <w:t>Adequately</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5"/>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Considered Well</w:t>
            </w:r>
          </w:p>
        </w:tc>
        <w:tc>
          <w:tcPr>
            <w:tcW w:w="180" w:type="dxa"/>
            <w:vAlign w:val="bottom"/>
          </w:tcPr>
          <w:p>
            <w:pPr>
              <w:spacing w:after="0"/>
              <w:rPr>
                <w:sz w:val="11"/>
                <w:szCs w:val="11"/>
                <w:color w:val="auto"/>
              </w:rPr>
            </w:pPr>
          </w:p>
        </w:tc>
        <w:tc>
          <w:tcPr>
            <w:tcW w:w="1220" w:type="dxa"/>
            <w:vAlign w:val="bottom"/>
            <w:gridSpan w:val="3"/>
          </w:tcPr>
          <w:p>
            <w:pPr>
              <w:jc w:val="center"/>
              <w:ind w:left="385"/>
              <w:spacing w:after="0" w:line="133" w:lineRule="exact"/>
              <w:rPr>
                <w:sz w:val="20"/>
                <w:szCs w:val="20"/>
                <w:color w:val="auto"/>
              </w:rPr>
            </w:pPr>
            <w:r>
              <w:rPr>
                <w:rFonts w:ascii="Times New Roman" w:cs="Times New Roman" w:eastAsia="Times New Roman" w:hAnsi="Times New Roman"/>
                <w:sz w:val="14"/>
                <w:szCs w:val="14"/>
                <w:b w:val="1"/>
                <w:bCs w:val="1"/>
                <w:color w:val="auto"/>
                <w:w w:val="99"/>
              </w:rPr>
              <w:t>Adequately</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4"/>
          </w:tcPr>
          <w:p>
            <w:pPr>
              <w:jc w:val="center"/>
              <w:ind w:right="42"/>
              <w:spacing w:after="0" w:line="133" w:lineRule="exact"/>
              <w:rPr>
                <w:sz w:val="20"/>
                <w:szCs w:val="20"/>
                <w:color w:val="auto"/>
              </w:rPr>
            </w:pPr>
            <w:r>
              <w:rPr>
                <w:rFonts w:ascii="Times New Roman" w:cs="Times New Roman" w:eastAsia="Times New Roman" w:hAnsi="Times New Roman"/>
                <w:sz w:val="14"/>
                <w:szCs w:val="14"/>
                <w:b w:val="1"/>
                <w:bCs w:val="1"/>
                <w:color w:val="auto"/>
                <w:w w:val="99"/>
              </w:rPr>
              <w:t>Capitalized Including Capital</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Conservation Buffer</w:t>
            </w:r>
          </w:p>
        </w:tc>
        <w:tc>
          <w:tcPr>
            <w:tcW w:w="0" w:type="dxa"/>
            <w:vAlign w:val="bottom"/>
          </w:tcPr>
          <w:p>
            <w:pPr>
              <w:spacing w:after="0"/>
              <w:rPr>
                <w:sz w:val="1"/>
                <w:szCs w:val="1"/>
                <w:color w:val="auto"/>
              </w:rPr>
            </w:pPr>
          </w:p>
        </w:tc>
      </w:tr>
      <w:tr>
        <w:trPr>
          <w:trHeight w:val="24"/>
        </w:trPr>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top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BankUnited, Inc.:</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leverage</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3,164,978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ind w:left="420"/>
              <w:spacing w:after="0" w:line="210"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0"/>
                <w:szCs w:val="20"/>
                <w:color w:val="auto"/>
                <w:vertAlign w:val="superscript"/>
              </w:rPr>
              <w:t>(1)</w:t>
            </w:r>
          </w:p>
        </w:tc>
        <w:tc>
          <w:tcPr>
            <w:tcW w:w="800" w:type="dxa"/>
            <w:vAlign w:val="bottom"/>
            <w:gridSpan w:val="2"/>
          </w:tcPr>
          <w:p>
            <w:pPr>
              <w:ind w:left="260"/>
              <w:spacing w:after="0" w:line="210"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0"/>
                <w:szCs w:val="20"/>
                <w:color w:val="auto"/>
                <w:vertAlign w:val="superscript"/>
              </w:rPr>
              <w:t>(1)</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1,415,587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60"/>
              <w:spacing w:after="0" w:line="210"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0"/>
                <w:szCs w:val="20"/>
                <w:color w:val="auto"/>
                <w:vertAlign w:val="superscript"/>
              </w:rPr>
              <w:t>(1)</w:t>
            </w:r>
          </w:p>
        </w:tc>
        <w:tc>
          <w:tcPr>
            <w:tcW w:w="660" w:type="dxa"/>
            <w:vAlign w:val="bottom"/>
          </w:tcPr>
          <w:p>
            <w:pPr>
              <w:jc w:val="right"/>
              <w:spacing w:after="0" w:line="210"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risk-based capital</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3,164,978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1,675,595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1,160,027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1,804,487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0" w:type="dxa"/>
            <w:vAlign w:val="bottom"/>
          </w:tcPr>
          <w:p>
            <w:pPr>
              <w:spacing w:after="0"/>
              <w:rPr>
                <w:sz w:val="1"/>
                <w:szCs w:val="1"/>
                <w:color w:val="auto"/>
              </w:rPr>
            </w:pP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risk-based capital</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3,164,978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12.28 %</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2,062,270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1,546,703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2,191,162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8.50 %</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risk-based capital</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3,632,710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2,577,838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2,062,270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2,706,730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10.50 %</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BankUnited: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leverage</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3,279,312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1,768,954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1,415,163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CET1 risk-based capital</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3,279,312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12.73 %</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1,674,615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1,159,349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1,803,431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risk-based capital</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3,279,312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2,061,064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1,545,798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2,189,881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8.50 %</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3,507,044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13.61 %</w:t>
            </w:r>
          </w:p>
        </w:tc>
        <w:tc>
          <w:tcPr>
            <w:tcW w:w="12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2,576,330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2,061,064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2,705,147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10.50 %</w:t>
            </w:r>
          </w:p>
        </w:tc>
        <w:tc>
          <w:tcPr>
            <w:tcW w:w="0" w:type="dxa"/>
            <w:vAlign w:val="bottom"/>
          </w:tcPr>
          <w:p>
            <w:pPr>
              <w:spacing w:after="0"/>
              <w:rPr>
                <w:sz w:val="1"/>
                <w:szCs w:val="1"/>
                <w:color w:val="auto"/>
              </w:rPr>
            </w:pPr>
          </w:p>
        </w:tc>
      </w:tr>
      <w:tr>
        <w:trPr>
          <w:trHeight w:val="309"/>
        </w:trPr>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8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Required to be</w:t>
            </w:r>
          </w:p>
        </w:tc>
        <w:tc>
          <w:tcPr>
            <w:tcW w:w="180" w:type="dxa"/>
            <w:vAlign w:val="bottom"/>
          </w:tcPr>
          <w:p>
            <w:pPr>
              <w:spacing w:after="0"/>
              <w:rPr>
                <w:sz w:val="10"/>
                <w:szCs w:val="10"/>
                <w:color w:val="auto"/>
              </w:rPr>
            </w:pPr>
          </w:p>
        </w:tc>
        <w:tc>
          <w:tcPr>
            <w:tcW w:w="1960" w:type="dxa"/>
            <w:vAlign w:val="bottom"/>
            <w:gridSpan w:val="5"/>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Required to be</w:t>
            </w:r>
          </w:p>
        </w:tc>
        <w:tc>
          <w:tcPr>
            <w:tcW w:w="120" w:type="dxa"/>
            <w:vAlign w:val="bottom"/>
          </w:tcPr>
          <w:p>
            <w:pPr>
              <w:spacing w:after="0"/>
              <w:rPr>
                <w:sz w:val="10"/>
                <w:szCs w:val="10"/>
                <w:color w:val="auto"/>
              </w:rPr>
            </w:pPr>
          </w:p>
        </w:tc>
        <w:tc>
          <w:tcPr>
            <w:tcW w:w="1960" w:type="dxa"/>
            <w:vAlign w:val="bottom"/>
            <w:gridSpan w:val="4"/>
          </w:tcPr>
          <w:p>
            <w:pPr>
              <w:jc w:val="center"/>
              <w:ind w:right="42"/>
              <w:spacing w:after="0" w:line="127" w:lineRule="exact"/>
              <w:rPr>
                <w:sz w:val="20"/>
                <w:szCs w:val="20"/>
                <w:color w:val="auto"/>
              </w:rPr>
            </w:pPr>
            <w:r>
              <w:rPr>
                <w:rFonts w:ascii="Times New Roman" w:cs="Times New Roman" w:eastAsia="Times New Roman" w:hAnsi="Times New Roman"/>
                <w:sz w:val="14"/>
                <w:szCs w:val="14"/>
                <w:b w:val="1"/>
                <w:bCs w:val="1"/>
                <w:color w:val="auto"/>
                <w:w w:val="99"/>
              </w:rPr>
              <w:t>Required to be Considered</w:t>
            </w:r>
          </w:p>
        </w:tc>
        <w:tc>
          <w:tcPr>
            <w:tcW w:w="0" w:type="dxa"/>
            <w:vAlign w:val="bottom"/>
          </w:tcPr>
          <w:p>
            <w:pPr>
              <w:spacing w:after="0"/>
              <w:rPr>
                <w:sz w:val="1"/>
                <w:szCs w:val="1"/>
                <w:color w:val="auto"/>
              </w:rPr>
            </w:pPr>
          </w:p>
        </w:tc>
      </w:tr>
      <w:tr>
        <w:trPr>
          <w:trHeight w:val="145"/>
        </w:trPr>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left="385"/>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Considered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left="465"/>
              <w:spacing w:after="0" w:line="145" w:lineRule="exact"/>
              <w:rPr>
                <w:sz w:val="20"/>
                <w:szCs w:val="20"/>
                <w:color w:val="auto"/>
              </w:rPr>
            </w:pPr>
            <w:r>
              <w:rPr>
                <w:rFonts w:ascii="Times New Roman" w:cs="Times New Roman" w:eastAsia="Times New Roman" w:hAnsi="Times New Roman"/>
                <w:sz w:val="14"/>
                <w:szCs w:val="14"/>
                <w:b w:val="1"/>
                <w:bCs w:val="1"/>
                <w:color w:val="auto"/>
                <w:w w:val="99"/>
              </w:rPr>
              <w:t>Adequately</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5"/>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Considered Well</w:t>
            </w:r>
          </w:p>
        </w:tc>
        <w:tc>
          <w:tcPr>
            <w:tcW w:w="180" w:type="dxa"/>
            <w:vAlign w:val="bottom"/>
          </w:tcPr>
          <w:p>
            <w:pPr>
              <w:spacing w:after="0"/>
              <w:rPr>
                <w:sz w:val="12"/>
                <w:szCs w:val="12"/>
                <w:color w:val="auto"/>
              </w:rPr>
            </w:pPr>
          </w:p>
        </w:tc>
        <w:tc>
          <w:tcPr>
            <w:tcW w:w="1220" w:type="dxa"/>
            <w:vAlign w:val="bottom"/>
            <w:gridSpan w:val="3"/>
          </w:tcPr>
          <w:p>
            <w:pPr>
              <w:jc w:val="center"/>
              <w:ind w:left="385"/>
              <w:spacing w:after="0" w:line="143" w:lineRule="exact"/>
              <w:rPr>
                <w:sz w:val="20"/>
                <w:szCs w:val="20"/>
                <w:color w:val="auto"/>
              </w:rPr>
            </w:pPr>
            <w:r>
              <w:rPr>
                <w:rFonts w:ascii="Times New Roman" w:cs="Times New Roman" w:eastAsia="Times New Roman" w:hAnsi="Times New Roman"/>
                <w:sz w:val="14"/>
                <w:szCs w:val="14"/>
                <w:b w:val="1"/>
                <w:bCs w:val="1"/>
                <w:color w:val="auto"/>
                <w:w w:val="99"/>
              </w:rPr>
              <w:t>Adequately</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4"/>
          </w:tcPr>
          <w:p>
            <w:pPr>
              <w:jc w:val="center"/>
              <w:ind w:right="42"/>
              <w:spacing w:after="0" w:line="143" w:lineRule="exact"/>
              <w:rPr>
                <w:sz w:val="20"/>
                <w:szCs w:val="20"/>
                <w:color w:val="auto"/>
              </w:rPr>
            </w:pPr>
            <w:r>
              <w:rPr>
                <w:rFonts w:ascii="Times New Roman" w:cs="Times New Roman" w:eastAsia="Times New Roman" w:hAnsi="Times New Roman"/>
                <w:sz w:val="14"/>
                <w:szCs w:val="14"/>
                <w:b w:val="1"/>
                <w:bCs w:val="1"/>
                <w:color w:val="auto"/>
                <w:w w:val="99"/>
              </w:rPr>
              <w:t>Capitalized Including Capital</w:t>
            </w:r>
          </w:p>
        </w:tc>
        <w:tc>
          <w:tcPr>
            <w:tcW w:w="0" w:type="dxa"/>
            <w:vAlign w:val="bottom"/>
          </w:tcPr>
          <w:p>
            <w:pPr>
              <w:spacing w:after="0"/>
              <w:rPr>
                <w:sz w:val="1"/>
                <w:szCs w:val="1"/>
                <w:color w:val="auto"/>
              </w:rPr>
            </w:pPr>
          </w:p>
        </w:tc>
      </w:tr>
      <w:tr>
        <w:trPr>
          <w:trHeight w:val="192"/>
        </w:trPr>
        <w:tc>
          <w:tcPr>
            <w:tcW w:w="2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Conservation Buffer</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BankUnited, Inc.:</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leverage</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3,024,425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ind w:left="420"/>
              <w:spacing w:after="0" w:line="210"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0"/>
                <w:szCs w:val="20"/>
                <w:color w:val="auto"/>
                <w:vertAlign w:val="superscript"/>
              </w:rPr>
              <w:t>(1)</w:t>
            </w:r>
          </w:p>
        </w:tc>
        <w:tc>
          <w:tcPr>
            <w:tcW w:w="800" w:type="dxa"/>
            <w:vAlign w:val="bottom"/>
            <w:gridSpan w:val="2"/>
          </w:tcPr>
          <w:p>
            <w:pPr>
              <w:ind w:left="260"/>
              <w:spacing w:after="0" w:line="210"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0"/>
                <w:szCs w:val="20"/>
                <w:color w:val="auto"/>
                <w:vertAlign w:val="superscript"/>
              </w:rPr>
              <w:t>(1)</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1,425,865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60"/>
              <w:spacing w:after="0" w:line="210"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0"/>
                <w:szCs w:val="20"/>
                <w:color w:val="auto"/>
                <w:vertAlign w:val="superscript"/>
              </w:rPr>
              <w:t>(1)</w:t>
            </w:r>
          </w:p>
        </w:tc>
        <w:tc>
          <w:tcPr>
            <w:tcW w:w="660" w:type="dxa"/>
            <w:vAlign w:val="bottom"/>
          </w:tcPr>
          <w:p>
            <w:pPr>
              <w:jc w:val="right"/>
              <w:spacing w:after="0" w:line="210"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risk-based capital</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3,024,425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1,636,789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1,133,162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1,762,696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0" w:type="dxa"/>
            <w:vAlign w:val="bottom"/>
          </w:tcPr>
          <w:p>
            <w:pPr>
              <w:spacing w:after="0"/>
              <w:rPr>
                <w:sz w:val="1"/>
                <w:szCs w:val="1"/>
                <w:color w:val="auto"/>
              </w:rPr>
            </w:pP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risk-based capital</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3,024,425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12.01 %</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2,014,510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1,510,883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8.50 %</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risk-based capital</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3,548,872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2,518,138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2,014,510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2,644,044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10.50 %</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BankUnited: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leverage</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3,444,673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1,780,805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1,424,644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CET1 risk-based capital</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3,444,673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13.70 %</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1,634,262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1,131,412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1,759,974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risk-based capital</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3,444,673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2,011,399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1,508,549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2,137,112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8.50 %</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3,669,120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14.59 %</w:t>
            </w:r>
          </w:p>
        </w:tc>
        <w:tc>
          <w:tcPr>
            <w:tcW w:w="12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2,514,249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2,011,399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2,639,961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13773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237" w:lineRule="exact"/>
        <w:rPr>
          <w:sz w:val="20"/>
          <w:szCs w:val="20"/>
          <w:color w:val="auto"/>
        </w:rPr>
      </w:pPr>
    </w:p>
    <w:p>
      <w:pPr>
        <w:ind w:left="320" w:hanging="315"/>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Tier 1 leverage ratio component in the definition of a well-capitalized bank holding company.</w:t>
      </w:r>
    </w:p>
    <w:p>
      <w:pPr>
        <w:spacing w:after="0" w:line="200" w:lineRule="exact"/>
        <w:rPr>
          <w:sz w:val="20"/>
          <w:szCs w:val="20"/>
          <w:color w:val="auto"/>
        </w:rPr>
      </w:pPr>
    </w:p>
    <w:p>
      <w:pPr>
        <w:spacing w:after="0" w:line="3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sectPr>
      </w:pPr>
    </w:p>
    <w:bookmarkStart w:id="125" w:name="page126"/>
    <w:bookmarkEnd w:id="125"/>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firstLine="315"/>
        <w:spacing w:after="0" w:line="268" w:lineRule="auto"/>
        <w:rPr>
          <w:sz w:val="20"/>
          <w:szCs w:val="20"/>
          <w:color w:val="auto"/>
        </w:rPr>
      </w:pPr>
      <w:r>
        <w:rPr>
          <w:rFonts w:ascii="Times New Roman" w:cs="Times New Roman" w:eastAsia="Times New Roman" w:hAnsi="Times New Roman"/>
          <w:sz w:val="18"/>
          <w:szCs w:val="18"/>
          <w:color w:val="auto"/>
        </w:rPr>
        <w:t>Upon the adoption of ASU 2016-13 effective January 1, 2020, the Company elected the option to temporarily delay the effects of CECL on regulatory capital for two years, followed by a three-year transition period. The CECL deferral was fully phased in beginning January 1, 2025.</w:t>
      </w:r>
    </w:p>
    <w:p>
      <w:pPr>
        <w:spacing w:after="0" w:line="103"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color w:val="auto"/>
        </w:rPr>
        <w:t>BankUnited is subject to various regulatory restrictions relating to the payment of dividends, including requirements to maintain capital at or above certain minimums, and to remain "well-capitalized" under the prompt corrective action regulations. The Company does not expect that any of these laws, regulations or policies will materially affect the ability of BankUnited to pay dividends in the foreseeable future.</w:t>
      </w:r>
    </w:p>
    <w:p>
      <w:pPr>
        <w:spacing w:after="0" w:line="17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52" w:lineRule="exact"/>
        <w:rPr>
          <w:sz w:val="20"/>
          <w:szCs w:val="20"/>
          <w:color w:val="auto"/>
        </w:rPr>
      </w:pPr>
    </w:p>
    <w:p>
      <w:pPr>
        <w:ind w:right="140" w:firstLine="315"/>
        <w:spacing w:after="0" w:line="268" w:lineRule="auto"/>
        <w:rPr>
          <w:sz w:val="20"/>
          <w:szCs w:val="20"/>
          <w:color w:val="auto"/>
        </w:rPr>
      </w:pPr>
      <w:r>
        <w:rPr>
          <w:rFonts w:ascii="Times New Roman" w:cs="Times New Roman" w:eastAsia="Times New Roman" w:hAnsi="Times New Roman"/>
          <w:sz w:val="18"/>
          <w:szCs w:val="18"/>
          <w:color w:val="auto"/>
        </w:rPr>
        <w:t>The following is a description of the methodologies used to estimate the fair values of assets and liabilities measured at fair value on a recurring basis and the level within the fair value hierarchy in which those measurements are typically classified.</w:t>
      </w:r>
    </w:p>
    <w:p>
      <w:pPr>
        <w:spacing w:after="0" w:line="88" w:lineRule="exact"/>
        <w:rPr>
          <w:sz w:val="20"/>
          <w:szCs w:val="20"/>
          <w:color w:val="auto"/>
        </w:rPr>
      </w:pPr>
    </w:p>
    <w:p>
      <w:pPr>
        <w:ind w:right="20" w:firstLine="315"/>
        <w:spacing w:after="0" w:line="282" w:lineRule="auto"/>
        <w:rPr>
          <w:sz w:val="20"/>
          <w:szCs w:val="20"/>
          <w:color w:val="auto"/>
        </w:rPr>
      </w:pPr>
      <w:r>
        <w:rPr>
          <w:rFonts w:ascii="Times New Roman" w:cs="Times New Roman" w:eastAsia="Times New Roman" w:hAnsi="Times New Roman"/>
          <w:sz w:val="16"/>
          <w:szCs w:val="16"/>
          <w:i w:val="1"/>
          <w:iCs w:val="1"/>
          <w:color w:val="auto"/>
        </w:rPr>
        <w:t>Investment securities available for sale and marketable equity securities</w:t>
      </w:r>
      <w:r>
        <w:rPr>
          <w:rFonts w:ascii="Times New Roman" w:cs="Times New Roman" w:eastAsia="Times New Roman" w:hAnsi="Times New Roman"/>
          <w:sz w:val="16"/>
          <w:szCs w:val="16"/>
          <w:color w:val="auto"/>
        </w:rPr>
        <w:t>—Fair value measurements are based on quoted prices in active markets when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available; these measurements are classified within level 1 of the fair value hierarchy. These securities typically include U.S. Treasury securities and certain preferred stocks. If quoted prices in active markets are not available, fair values are estimated using quoted prices of securities with similar characteristics, quoted prices of identical securities in less active markets, discounted cash flow techniques, or matrix pricing models. These securities are generally classified within level 2 of the fair value hierarchy and typically include all categories of investment securities not classified within level 1 of the hierarchy. Pricing of these securities is generally primarily spread driven. Observable inputs that may impact the valuation of these securities include benchmark yield curves, credit spreads, reported trades, dealer quotes, bids, issuer spreads, current rating, historical constant prepayment rates, historical voluntary prepayment rates, structural and waterfall features of individual securities, published collateral data, and for certain securities, historical constant default rates and default severities.</w:t>
      </w:r>
    </w:p>
    <w:p>
      <w:pPr>
        <w:spacing w:after="0" w:line="99" w:lineRule="exact"/>
        <w:rPr>
          <w:sz w:val="20"/>
          <w:szCs w:val="20"/>
          <w:color w:val="auto"/>
        </w:rPr>
      </w:pPr>
    </w:p>
    <w:p>
      <w:pPr>
        <w:ind w:right="80" w:firstLine="315"/>
        <w:spacing w:after="0" w:line="282" w:lineRule="auto"/>
        <w:rPr>
          <w:sz w:val="20"/>
          <w:szCs w:val="20"/>
          <w:color w:val="auto"/>
        </w:rPr>
      </w:pPr>
      <w:r>
        <w:rPr>
          <w:rFonts w:ascii="Times New Roman" w:cs="Times New Roman" w:eastAsia="Times New Roman" w:hAnsi="Times New Roman"/>
          <w:sz w:val="16"/>
          <w:szCs w:val="16"/>
          <w:color w:val="auto"/>
        </w:rPr>
        <w:t>The Company uses third-party pricing services in determining fair value measurements for investment securities. To obtain an understanding of the methodologies and assumptions used, management reviews written documentation provided by the pricing services, conducts interviews with valuation desk personnel and reviews model results and detailed assumptions used to value selected securities as considered necessary. Management has established a robust price challenge process that includes a review by the treasury front office of all prices provided on a quarterly basis. Any price evidencing significant unexpected quarter-over-quarter fluctuations or deviations from expectations is challenged. The Company has also established a quarterly process whereby prices provided by its primary pricing service are validated by obtaining a price from a second external source for most securities in the portfolio. If considered necessary to resolve any discrepancies, a price will be obtained from an additional independent valuation source. The Company does not typically adjust the prices provided, other than through this established challenge process. The results of price challenges are subject to review by executive management. Any price discrepancies are resolved based on careful consideration of the assumptions and inputs employed by each of the pricing sources.</w:t>
      </w:r>
    </w:p>
    <w:p>
      <w:pPr>
        <w:spacing w:after="0" w:line="306" w:lineRule="exact"/>
        <w:rPr>
          <w:sz w:val="20"/>
          <w:szCs w:val="20"/>
          <w:color w:val="auto"/>
        </w:rPr>
      </w:pPr>
    </w:p>
    <w:p>
      <w:pPr>
        <w:ind w:right="80" w:firstLine="315"/>
        <w:spacing w:after="0" w:line="252" w:lineRule="auto"/>
        <w:rPr>
          <w:sz w:val="20"/>
          <w:szCs w:val="20"/>
          <w:color w:val="auto"/>
        </w:rPr>
      </w:pP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—Fair values of interest rate derivatives are determined using widely accepted discounted cash flow modeling techniques.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discounted cash flow models use projections of future cash payments and receipts that are discounted at mid-market rates. Observable inputs that may impact the valuation of these instruments include benchmark swap rates and benchmark forward yield curves. These fair value measurements are generally classified within level 2 of the fair value hierarchy.</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26" w:name="page127"/>
    <w:bookmarkEnd w:id="126"/>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assets and liabilities measured at fair value on a recurring basis at the dates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1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268,653</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268,653</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agency and sponsored enterprise residential MBS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2,563,027</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agency and sponsored enterprise commercial MBS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534,363</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 residential MBS and CMOs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2,490,828</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label commercial MBS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2,168,110</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Single family real estate-backed securities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225,892</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780,944</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Non-mortgage asset-backed securities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58,765</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municipal obligations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109,520</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SBA securities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57,815</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85,156</w:t>
            </w:r>
          </w:p>
        </w:tc>
        <w:tc>
          <w:tcPr>
            <w:tcW w:w="0" w:type="dxa"/>
            <w:vAlign w:val="bottom"/>
          </w:tcPr>
          <w:p>
            <w:pPr>
              <w:spacing w:after="0"/>
              <w:rPr>
                <w:sz w:val="1"/>
                <w:szCs w:val="1"/>
                <w:color w:val="auto"/>
              </w:rPr>
            </w:pPr>
          </w:p>
        </w:tc>
      </w:tr>
      <w:tr>
        <w:trPr>
          <w:trHeight w:val="217"/>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9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274,387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9,074,420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9,348,807</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9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(79,816)</w:t>
            </w:r>
          </w:p>
        </w:tc>
        <w:tc>
          <w:tcPr>
            <w:tcW w:w="0" w:type="dxa"/>
            <w:vAlign w:val="bottom"/>
          </w:tcPr>
          <w:p>
            <w:pPr>
              <w:spacing w:after="0"/>
              <w:rPr>
                <w:sz w:val="1"/>
                <w:szCs w:val="1"/>
                <w:color w:val="auto"/>
              </w:rPr>
            </w:pPr>
          </w:p>
        </w:tc>
      </w:tr>
      <w:tr>
        <w:trPr>
          <w:trHeight w:val="217"/>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92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1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202,952</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202,952</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agency and sponsored enterprise residential MBS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2,649,690</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agency and sponsored enterprise commercial MBS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495,753</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 residential MBS and CMOs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2,238,046</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label commercial MBS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1,784,029</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Single family real estate-backed securities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327,081</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1,132,699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1,132,699</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Non-mortgage asset-backed securities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94,454</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municipal obligations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104,010</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SBA securities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85,132</w:t>
            </w:r>
          </w:p>
        </w:tc>
        <w:tc>
          <w:tcPr>
            <w:tcW w:w="0" w:type="dxa"/>
            <w:vAlign w:val="bottom"/>
          </w:tcPr>
          <w:p>
            <w:pPr>
              <w:spacing w:after="0"/>
              <w:rPr>
                <w:sz w:val="1"/>
                <w:szCs w:val="1"/>
                <w:color w:val="auto"/>
              </w:rPr>
            </w:pPr>
          </w:p>
        </w:tc>
      </w:tr>
      <w:tr>
        <w:trPr>
          <w:trHeight w:val="217"/>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9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231,780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8,983,596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9,215,376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9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(85,899)</w:t>
            </w:r>
          </w:p>
        </w:tc>
        <w:tc>
          <w:tcPr>
            <w:tcW w:w="0" w:type="dxa"/>
            <w:vAlign w:val="bottom"/>
          </w:tcPr>
          <w:p>
            <w:pPr>
              <w:spacing w:after="0"/>
              <w:rPr>
                <w:sz w:val="1"/>
                <w:szCs w:val="1"/>
                <w:color w:val="auto"/>
              </w:rPr>
            </w:pPr>
          </w:p>
        </w:tc>
      </w:tr>
      <w:tr>
        <w:trPr>
          <w:trHeight w:val="217"/>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92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920" w:type="dxa"/>
            <w:vAlign w:val="bottom"/>
            <w:vMerge w:val="restart"/>
          </w:tcPr>
          <w:p>
            <w:pPr>
              <w:jc w:val="right"/>
              <w:ind w:right="1252"/>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53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9A9A9A"/>
            </w:tcBorders>
          </w:tcPr>
          <w:p>
            <w:pPr>
              <w:spacing w:after="0"/>
              <w:rPr>
                <w:sz w:val="22"/>
                <w:szCs w:val="22"/>
                <w:color w:val="auto"/>
              </w:rPr>
            </w:pPr>
          </w:p>
        </w:tc>
        <w:tc>
          <w:tcPr>
            <w:tcW w:w="192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27" w:name="page128"/>
    <w:bookmarkEnd w:id="127"/>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139" w:lineRule="exact"/>
        <w:rPr>
          <w:sz w:val="20"/>
          <w:szCs w:val="20"/>
          <w:color w:val="auto"/>
        </w:rPr>
      </w:pPr>
    </w:p>
    <w:p>
      <w:pPr>
        <w:ind w:right="280" w:firstLine="315"/>
        <w:spacing w:after="0" w:line="268" w:lineRule="auto"/>
        <w:rPr>
          <w:sz w:val="20"/>
          <w:szCs w:val="20"/>
          <w:color w:val="auto"/>
        </w:rPr>
      </w:pPr>
      <w:r>
        <w:rPr>
          <w:rFonts w:ascii="Times New Roman" w:cs="Times New Roman" w:eastAsia="Times New Roman" w:hAnsi="Times New Roman"/>
          <w:sz w:val="18"/>
          <w:szCs w:val="18"/>
          <w:color w:val="auto"/>
        </w:rPr>
        <w:t>The following is a description of the methodologies used to estimate the fair values of assets and liabilities that may be measured at fair value on a non-recurring basis, and the level within the fair value hierarchy in which those measurements are typically classified:</w:t>
      </w:r>
    </w:p>
    <w:p>
      <w:pPr>
        <w:spacing w:after="0" w:line="101" w:lineRule="exact"/>
        <w:rPr>
          <w:sz w:val="20"/>
          <w:szCs w:val="20"/>
          <w:color w:val="auto"/>
        </w:rPr>
      </w:pPr>
    </w:p>
    <w:p>
      <w:pPr>
        <w:ind w:right="60" w:firstLine="315"/>
        <w:spacing w:after="0" w:line="250" w:lineRule="auto"/>
        <w:rPr>
          <w:sz w:val="20"/>
          <w:szCs w:val="20"/>
          <w:color w:val="auto"/>
        </w:rPr>
      </w:pPr>
      <w:r>
        <w:rPr>
          <w:rFonts w:ascii="Times New Roman" w:cs="Times New Roman" w:eastAsia="Times New Roman" w:hAnsi="Times New Roman"/>
          <w:sz w:val="18"/>
          <w:szCs w:val="18"/>
          <w:i w:val="1"/>
          <w:iCs w:val="1"/>
          <w:color w:val="auto"/>
        </w:rPr>
        <w:t>Collateral dependent loans and OREO</w:t>
      </w:r>
      <w:r>
        <w:rPr>
          <w:rFonts w:ascii="Times New Roman" w:cs="Times New Roman" w:eastAsia="Times New Roman" w:hAnsi="Times New Roman"/>
          <w:sz w:val="18"/>
          <w:szCs w:val="18"/>
          <w:color w:val="auto"/>
        </w:rPr>
        <w:t>—The carrying amount of collateral dependent loans is typically based on the fair value of the underlying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real estate, enterprise value or other business assets, less estimated costs to sell when repayment is expected to come from the sale of the collateral. The carrying value of OREO is initially measured based on the fair value of the real estate acquired in foreclosure and subsequently adjusted to the lower of cost or estimated fair value, less estimated cost to sell. Fair values of real estate collateral and OREO are typically based on third-party real estate appraisals which utilize market and income approaches to valuation incorporating both observable and unobservable inputs.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Fair value measurements related to collateral dependent loans and OREO are generally classified within level 3 of the fair value hierarchy.</w:t>
      </w:r>
    </w:p>
    <w:p>
      <w:pPr>
        <w:spacing w:after="0" w:line="135" w:lineRule="exact"/>
        <w:rPr>
          <w:sz w:val="20"/>
          <w:szCs w:val="20"/>
          <w:color w:val="auto"/>
        </w:rPr>
      </w:pPr>
    </w:p>
    <w:p>
      <w:pPr>
        <w:ind w:right="50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net carrying value of assets classified within level 3 of the fair value hierarchy at the dates indicated, for which non-recurring changes in fair value were recorded during the period then ended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14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165,951</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42"/>
        </w:trPr>
        <w:tc>
          <w:tcPr>
            <w:tcW w:w="7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720" w:firstLine="315"/>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of financial instruments and the level within the fair value hierarchy in which those measurements are classified at the dates indicated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258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6"/>
                <w:szCs w:val="16"/>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6"/>
                <w:szCs w:val="16"/>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217,784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491,116</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491,116</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9,263,651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9,130,244</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206,297</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206,297</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net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24,053,882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23,707,267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24,074,827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23,053,011</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85,156</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85,132</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85,132</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Demand, savings and money market deposits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25,464,221</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25,464,221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23,564,414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23,564,414</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4,279,475</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FHLB advances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1,555,000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2,930,000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2,929,896</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and other borrowings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695,457</w:t>
            </w:r>
          </w:p>
        </w:tc>
        <w:tc>
          <w:tcPr>
            <w:tcW w:w="0" w:type="dxa"/>
            <w:vAlign w:val="bottom"/>
          </w:tcPr>
          <w:p>
            <w:pPr>
              <w:spacing w:after="0"/>
              <w:rPr>
                <w:sz w:val="1"/>
                <w:szCs w:val="1"/>
                <w:color w:val="auto"/>
              </w:rPr>
            </w:pPr>
          </w:p>
        </w:tc>
      </w:tr>
      <w:tr>
        <w:trPr>
          <w:trHeight w:val="228"/>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79,816</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85,899</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85,899</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6"/>
          <w:szCs w:val="16"/>
          <w:b w:val="1"/>
          <w:bCs w:val="1"/>
          <w:color w:val="auto"/>
        </w:rPr>
        <w:t>Commitments and Contingencies</w:t>
      </w:r>
    </w:p>
    <w:p>
      <w:pPr>
        <w:spacing w:after="0" w:line="163" w:lineRule="exact"/>
        <w:rPr>
          <w:sz w:val="20"/>
          <w:szCs w:val="20"/>
          <w:color w:val="auto"/>
        </w:rPr>
      </w:pPr>
    </w:p>
    <w:p>
      <w:pPr>
        <w:ind w:right="40" w:firstLine="315"/>
        <w:spacing w:after="0" w:line="249" w:lineRule="auto"/>
        <w:rPr>
          <w:sz w:val="20"/>
          <w:szCs w:val="20"/>
          <w:color w:val="auto"/>
        </w:rPr>
      </w:pPr>
      <w:r>
        <w:rPr>
          <w:rFonts w:ascii="Times New Roman" w:cs="Times New Roman" w:eastAsia="Times New Roman" w:hAnsi="Times New Roman"/>
          <w:sz w:val="18"/>
          <w:szCs w:val="18"/>
          <w:color w:val="auto"/>
        </w:rPr>
        <w:t>The Company issues off-balance sheet financial instruments to meet the financing needs of its customers. These financial instruments include commitments to fund loans, unfunded commitments under existing lines of credit, and commercial and standby letters of credit. These commitments expose the Company to varying degrees of credit and market risk which are essentially the same as those involved in extending loans to customers, and are subject to the same credit policies used in underwriting loans. Collateral may be obtained based on the Company’s credit evaluation of the counterparty. The Company’s maximum exposure to credit loss is represented by the contractual amount of these commitments.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128" w:name="page129"/>
    <w:bookmarkEnd w:id="128"/>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Commitments to fund loans</w:t>
      </w:r>
    </w:p>
    <w:p>
      <w:pPr>
        <w:spacing w:after="0" w:line="137"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These are agreements to lend funds to customers as long as there is no violation of any condition established in the contract. Commitments to fund loans generally have fixed expiration dates or other termination clauses and may require payment of a fee. Many of these commitments are expected to expire without being funded and, therefore, the total commitment amounts do not necessarily represent future liquidity requirements.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Unfunded commitments under lines of credit</w:t>
      </w:r>
    </w:p>
    <w:p>
      <w:pPr>
        <w:spacing w:after="0" w:line="150" w:lineRule="exact"/>
        <w:rPr>
          <w:sz w:val="20"/>
          <w:szCs w:val="20"/>
          <w:color w:val="auto"/>
        </w:rPr>
      </w:pPr>
    </w:p>
    <w:p>
      <w:pPr>
        <w:ind w:right="320" w:firstLine="315"/>
        <w:spacing w:after="0" w:line="256" w:lineRule="auto"/>
        <w:rPr>
          <w:sz w:val="20"/>
          <w:szCs w:val="20"/>
          <w:color w:val="auto"/>
        </w:rPr>
      </w:pPr>
      <w:r>
        <w:rPr>
          <w:rFonts w:ascii="Times New Roman" w:cs="Times New Roman" w:eastAsia="Times New Roman" w:hAnsi="Times New Roman"/>
          <w:sz w:val="18"/>
          <w:szCs w:val="18"/>
          <w:color w:val="auto"/>
        </w:rPr>
        <w:t>Unfunded commitments under lines of credit include commercial and commercial real estate lines of credit to existing customers, for many of which additional extensions of credit are subject to borrowing base requirements. Some of these commitments may mature without being fully funded, so may not necessarily represent future liquidity requirements.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Commercial and standby letters of credit</w:t>
      </w:r>
    </w:p>
    <w:p>
      <w:pPr>
        <w:spacing w:after="0" w:line="150"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Letters of credit are conditional commitments issued by the Company to guarantee the performance of a customer to a third party. These letters of credit are primarily issued to support trade transactions or guarantee arrangements. The credit risk involved in issuing letters of credit is essentially the same as that involved in extending loan facilities to customers.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lending related commitments outstanding at December 31, 2025 were as follows (in thousands):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58"/>
        </w:trPr>
        <w:tc>
          <w:tcPr>
            <w:tcW w:w="9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3"/>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fund loans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145,009</w:t>
            </w:r>
          </w:p>
        </w:tc>
      </w:tr>
      <w:tr>
        <w:trPr>
          <w:trHeight w:val="22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Unfunded commitments under lines of credit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5,234,926</w:t>
            </w:r>
          </w:p>
        </w:tc>
      </w:tr>
      <w:tr>
        <w:trPr>
          <w:trHeight w:val="223"/>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standby letters of credit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192,713</w:t>
            </w:r>
          </w:p>
        </w:tc>
      </w:tr>
      <w:tr>
        <w:trPr>
          <w:trHeight w:val="217"/>
        </w:trPr>
        <w:tc>
          <w:tcPr>
            <w:tcW w:w="98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5,572,648</w:t>
            </w: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37" w:lineRule="exact"/>
        <w:rPr>
          <w:sz w:val="20"/>
          <w:szCs w:val="20"/>
          <w:color w:val="auto"/>
        </w:rPr>
      </w:pPr>
    </w:p>
    <w:p>
      <w:pPr>
        <w:jc w:val="both"/>
        <w:ind w:right="440" w:firstLine="315"/>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legal actions arising in the normal course of business. In the opinion of management, based upon advice of legal counsel, the likelihood is remote that the adverse impact of these proceedings, either individually or in the aggregate, would be material to the Company’s consolidated financial position, results of operations or cash flows.</w:t>
      </w:r>
    </w:p>
    <w:p>
      <w:pPr>
        <w:spacing w:after="0" w:line="17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6"/>
          <w:szCs w:val="16"/>
          <w:b w:val="1"/>
          <w:bCs w:val="1"/>
          <w:color w:val="auto"/>
        </w:rPr>
        <w:t>Condensed Financial Statements of BankUnited, Inc.</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Condensed financial statements of BankUnited, Inc. are presented below (in thousands):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8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223,220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274,350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 at fair value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BankUnited, N.A.</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3,166,950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3,233,366</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r>
      <w:tr>
        <w:trPr>
          <w:trHeight w:val="21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3,402,717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3,543,967</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0"/>
        </w:trPr>
        <w:tc>
          <w:tcPr>
            <w:tcW w:w="82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296,858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683,924</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45,725</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3,053,829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2,814,318</w:t>
            </w:r>
          </w:p>
        </w:tc>
      </w:tr>
      <w:tr>
        <w:trPr>
          <w:trHeight w:val="242"/>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3,543,967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29" w:name="page130"/>
    <w:bookmarkEnd w:id="129"/>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dividends on investment securities</w:t>
            </w:r>
          </w:p>
        </w:tc>
        <w:tc>
          <w:tcPr>
            <w:tcW w:w="26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fees from subsidiary</w:t>
            </w: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subsidiary</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225,288</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investment securities</w:t>
            </w: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7"/>
        </w:trPr>
        <w:tc>
          <w:tcPr>
            <w:tcW w:w="4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330,292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295,853</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235,137</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borrowings</w:t>
            </w:r>
          </w:p>
        </w:tc>
        <w:tc>
          <w:tcPr>
            <w:tcW w:w="2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36,057</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28,271</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69,323</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165,814</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0" w:type="dxa"/>
            <w:vAlign w:val="bottom"/>
          </w:tcPr>
          <w:p>
            <w:pPr>
              <w:spacing w:after="0"/>
              <w:rPr>
                <w:sz w:val="1"/>
                <w:szCs w:val="1"/>
                <w:color w:val="auto"/>
              </w:rPr>
            </w:pPr>
          </w:p>
        </w:tc>
      </w:tr>
      <w:tr>
        <w:trPr>
          <w:trHeight w:val="242"/>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268,353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732"/>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44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9A9A9A"/>
            </w:tcBorders>
          </w:tcPr>
          <w:p>
            <w:pPr>
              <w:spacing w:after="0"/>
              <w:rPr>
                <w:sz w:val="22"/>
                <w:szCs w:val="22"/>
                <w:color w:val="auto"/>
              </w:rPr>
            </w:pPr>
          </w:p>
        </w:tc>
        <w:tc>
          <w:tcPr>
            <w:tcW w:w="226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108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108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108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30" w:name="page131"/>
    <w:bookmarkEnd w:id="130"/>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268,353</w:t>
            </w:r>
          </w:p>
        </w:tc>
        <w:tc>
          <w:tcPr>
            <w:tcW w:w="4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232,467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178,671</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undistributed earnings of subsidiaries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(140,288)</w:t>
            </w:r>
          </w:p>
        </w:tc>
      </w:tr>
      <w:tr>
        <w:trPr>
          <w:trHeight w:val="22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w:t>
            </w:r>
          </w:p>
        </w:tc>
      </w:tr>
      <w:tr>
        <w:trPr>
          <w:trHeight w:val="22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w:t>
            </w:r>
          </w:p>
        </w:tc>
      </w:tr>
      <w:tr>
        <w:trPr>
          <w:trHeight w:val="217"/>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459,324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73,634</w:t>
            </w:r>
          </w:p>
        </w:tc>
      </w:tr>
      <w:tr>
        <w:trPr>
          <w:trHeight w:val="203"/>
        </w:trPr>
        <w:tc>
          <w:tcPr>
            <w:tcW w:w="6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maturities and calls of investment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73,962</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7"/>
        </w:trPr>
        <w:tc>
          <w:tcPr>
            <w:tcW w:w="6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73,802</w:t>
            </w:r>
          </w:p>
        </w:tc>
      </w:tr>
      <w:tr>
        <w:trPr>
          <w:trHeight w:val="203"/>
        </w:trPr>
        <w:tc>
          <w:tcPr>
            <w:tcW w:w="6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(55,154)</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senior notes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w:t>
            </w:r>
          </w:p>
        </w:tc>
      </w:tr>
      <w:tr>
        <w:trPr>
          <w:trHeight w:val="217"/>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(151,682)</w:t>
            </w: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266,282</w:t>
            </w: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223,220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274,350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262,036</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Supplemental schedule of non-cash investing and financing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not paid</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24,078</w:t>
            </w:r>
          </w:p>
        </w:tc>
        <w:tc>
          <w:tcPr>
            <w:tcW w:w="4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20,706</w:t>
            </w:r>
          </w:p>
        </w:tc>
      </w:tr>
      <w:tr>
        <w:trPr>
          <w:trHeight w:val="20"/>
        </w:trPr>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200" w:firstLine="315"/>
        <w:spacing w:after="0" w:line="268" w:lineRule="auto"/>
        <w:rPr>
          <w:sz w:val="20"/>
          <w:szCs w:val="20"/>
          <w:color w:val="auto"/>
        </w:rPr>
      </w:pPr>
      <w:r>
        <w:rPr>
          <w:rFonts w:ascii="Times New Roman" w:cs="Times New Roman" w:eastAsia="Times New Roman" w:hAnsi="Times New Roman"/>
          <w:sz w:val="18"/>
          <w:szCs w:val="18"/>
          <w:color w:val="auto"/>
        </w:rPr>
        <w:t>Dividends received by BankUnited, Inc. from the Bank totaled $475 million, $115 million and $85 million for the years ended December 31, 2025, 2024 and 2023, respectively.</w:t>
      </w: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31" w:name="page132"/>
    <w:bookmarkEnd w:id="131"/>
    <w:p>
      <w:pPr>
        <w:ind w:left="3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BANKUNITED,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6"/>
          <w:szCs w:val="16"/>
          <w:b w:val="1"/>
          <w:bCs w:val="1"/>
          <w:color w:val="auto"/>
        </w:rPr>
        <w:t>Quarterly Financial Information (Unaudited)</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Financial information by quarter for the periods indicated follows (in thousands, except per share data):</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4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4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0" w:type="dxa"/>
            <w:vAlign w:val="bottom"/>
          </w:tcPr>
          <w:p>
            <w:pPr>
              <w:spacing w:after="0"/>
              <w:rPr>
                <w:sz w:val="16"/>
                <w:szCs w:val="16"/>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442,403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443,689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1,792,793</w:t>
            </w:r>
          </w:p>
        </w:tc>
      </w:tr>
      <w:tr>
        <w:trPr>
          <w:trHeight w:val="22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184,193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202,810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207,660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805,213</w:t>
            </w:r>
          </w:p>
        </w:tc>
      </w:tr>
      <w:tr>
        <w:trPr>
          <w:trHeight w:val="217"/>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income before provision for credit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987,580</w:t>
            </w:r>
          </w:p>
        </w:tc>
      </w:tr>
      <w:tr>
        <w:trPr>
          <w:trHeight w:val="22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67,940</w:t>
            </w:r>
          </w:p>
        </w:tc>
      </w:tr>
      <w:tr>
        <w:trPr>
          <w:trHeight w:val="217"/>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919,640</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105,639</w:t>
            </w:r>
          </w:p>
        </w:tc>
      </w:tr>
      <w:tr>
        <w:trPr>
          <w:trHeight w:val="22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663,533</w:t>
            </w:r>
          </w:p>
        </w:tc>
      </w:tr>
      <w:tr>
        <w:trPr>
          <w:trHeight w:val="217"/>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361,746</w:t>
            </w:r>
          </w:p>
        </w:tc>
      </w:tr>
      <w:tr>
        <w:trPr>
          <w:trHeight w:val="22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93,393</w:t>
            </w:r>
          </w:p>
        </w:tc>
      </w:tr>
      <w:tr>
        <w:trPr>
          <w:trHeight w:val="217"/>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68,766</w:t>
            </w: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268,353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4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1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3.53</w:t>
            </w:r>
          </w:p>
        </w:tc>
      </w:tr>
      <w:tr>
        <w:trPr>
          <w:trHeight w:val="20"/>
        </w:trPr>
        <w:tc>
          <w:tcPr>
            <w:tcW w:w="4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95"/>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4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Second Quarter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467,988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492,356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483,298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481,474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1,925,116</w:t>
            </w:r>
          </w:p>
        </w:tc>
      </w:tr>
      <w:tr>
        <w:trPr>
          <w:trHeight w:val="22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257,276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1,010,850</w:t>
            </w:r>
          </w:p>
        </w:tc>
      </w:tr>
      <w:tr>
        <w:trPr>
          <w:trHeight w:val="217"/>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income before provision for credit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914,266</w:t>
            </w:r>
          </w:p>
        </w:tc>
      </w:tr>
      <w:tr>
        <w:trPr>
          <w:trHeight w:val="22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55,072</w:t>
            </w:r>
          </w:p>
        </w:tc>
      </w:tr>
      <w:tr>
        <w:trPr>
          <w:trHeight w:val="217"/>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859,194</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99,155</w:t>
            </w:r>
          </w:p>
        </w:tc>
      </w:tr>
      <w:tr>
        <w:trPr>
          <w:trHeight w:val="22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642,000</w:t>
            </w:r>
          </w:p>
        </w:tc>
      </w:tr>
      <w:tr>
        <w:trPr>
          <w:trHeight w:val="217"/>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316,349</w:t>
            </w:r>
          </w:p>
        </w:tc>
      </w:tr>
      <w:tr>
        <w:trPr>
          <w:trHeight w:val="22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83,882</w:t>
            </w:r>
          </w:p>
        </w:tc>
      </w:tr>
      <w:tr>
        <w:trPr>
          <w:trHeight w:val="217"/>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232,467</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96"/>
        </w:trPr>
        <w:tc>
          <w:tcPr>
            <w:tcW w:w="4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3.08</w:t>
            </w: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160" w:firstLine="315"/>
        <w:spacing w:after="0" w:line="268" w:lineRule="auto"/>
        <w:rPr>
          <w:sz w:val="20"/>
          <w:szCs w:val="20"/>
          <w:color w:val="auto"/>
        </w:rPr>
      </w:pPr>
      <w:r>
        <w:rPr>
          <w:rFonts w:ascii="Times New Roman" w:cs="Times New Roman" w:eastAsia="Times New Roman" w:hAnsi="Times New Roman"/>
          <w:sz w:val="18"/>
          <w:szCs w:val="18"/>
          <w:color w:val="auto"/>
        </w:rPr>
        <w:t>Non-interest expense for the first quarter of 2024 was negatively impacted by $5.2 million FDIC special assessments. Non-interest expense for the fourth quarter of 2025 was negatively impacted by $3.8 million write-downs of previously capitalized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61" w:right="359" w:bottom="1440" w:gutter="0" w:footer="0" w:header="0"/>
        </w:sectPr>
      </w:pPr>
    </w:p>
    <w:bookmarkStart w:id="132" w:name="page133"/>
    <w:bookmarkEnd w:id="132"/>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52" w:lineRule="exact"/>
        <w:rPr>
          <w:sz w:val="20"/>
          <w:szCs w:val="20"/>
          <w:color w:val="auto"/>
        </w:rPr>
      </w:pPr>
    </w:p>
    <w:p>
      <w:pPr>
        <w:ind w:firstLine="315"/>
        <w:spacing w:after="0" w:line="252"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we carried out an evaluation under the supervision and with the participation of our management, including the Chief Executive Officer and Chief Financial Officer, of the effectiveness of the design and operation of our disclosure controls and procedures as defined in Exchange Act Rules 13a-15(e) and 15d-15(e). Based upon that evaluation, the Chief Executive Officer and the Chief Financial Officer concluded that our disclosure controls and procedures were effective as of December 31, 2025.</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52" w:lineRule="exact"/>
        <w:rPr>
          <w:sz w:val="20"/>
          <w:szCs w:val="20"/>
          <w:color w:val="auto"/>
        </w:rPr>
      </w:pPr>
    </w:p>
    <w:p>
      <w:pPr>
        <w:ind w:right="20" w:firstLine="315"/>
        <w:spacing w:after="0" w:line="288" w:lineRule="auto"/>
        <w:rPr>
          <w:sz w:val="20"/>
          <w:szCs w:val="20"/>
          <w:color w:val="auto"/>
        </w:rPr>
      </w:pPr>
      <w:r>
        <w:rPr>
          <w:rFonts w:ascii="Times New Roman" w:cs="Times New Roman" w:eastAsia="Times New Roman" w:hAnsi="Times New Roman"/>
          <w:sz w:val="16"/>
          <w:szCs w:val="16"/>
          <w:color w:val="auto"/>
        </w:rPr>
        <w:t>Effective January 1, 2025, the Company implemented a new general ledger accounting system. The new general ledger system was implemented in order to standardize processes, improve efficiency and enhance management reporting and analysis, and was subject to thorough testing and review before and after final implementation. The Company continually strives to improve its internal control over financial reporting to provide reasonable assurance regarding the reliability of financial reporting and the preparation of financial statements for external purposes in accordance with GAAP. This implementation has not materially affected, and the Company does not expect it to materially affect the effectiveness of internal control over financial reporting.</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Management's report, which is included in Part II, Item 8 of this Form 10-K, is incorporated herein by reference.</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152" w:lineRule="exact"/>
        <w:rPr>
          <w:sz w:val="20"/>
          <w:szCs w:val="20"/>
          <w:color w:val="auto"/>
        </w:rPr>
      </w:pPr>
    </w:p>
    <w:p>
      <w:pPr>
        <w:ind w:right="140" w:firstLine="315"/>
        <w:spacing w:after="0" w:line="268"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Deloitte and Touche LLP, an independent registered public accounting firm, as stated in their report, which is included in Part II, Item 8 of this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50" w:lineRule="exact"/>
        <w:rPr>
          <w:sz w:val="20"/>
          <w:szCs w:val="20"/>
          <w:color w:val="auto"/>
        </w:rPr>
      </w:pPr>
    </w:p>
    <w:p>
      <w:pPr>
        <w:ind w:right="600" w:firstLine="315"/>
        <w:spacing w:after="0" w:line="331" w:lineRule="auto"/>
        <w:rPr>
          <w:sz w:val="20"/>
          <w:szCs w:val="20"/>
          <w:color w:val="auto"/>
        </w:rPr>
      </w:pPr>
      <w:r>
        <w:rPr>
          <w:rFonts w:ascii="Times New Roman" w:cs="Times New Roman" w:eastAsia="Times New Roman" w:hAnsi="Times New Roman"/>
          <w:sz w:val="16"/>
          <w:szCs w:val="16"/>
          <w:color w:val="auto"/>
        </w:rPr>
        <w:t>During the three months ended December 31, 2025, no director or officer (as defined in Exchange Act Rule 16a-1(f)) of the Company adopted or terminated a “Rule 10b5-1 trading arrangement” or “non-Rule 10b5-1 trading arrangement,” as each term is defined in Item 408 of Regulation 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6153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223" w:right="479" w:bottom="1440" w:gutter="0" w:footer="0" w:header="0"/>
        </w:sectPr>
      </w:pPr>
    </w:p>
    <w:bookmarkStart w:id="133" w:name="page134"/>
    <w:bookmarkEnd w:id="13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50" w:lineRule="exact"/>
        <w:rPr>
          <w:sz w:val="20"/>
          <w:szCs w:val="20"/>
          <w:color w:val="auto"/>
        </w:rPr>
      </w:pPr>
    </w:p>
    <w:p>
      <w:pPr>
        <w:ind w:right="300" w:firstLine="315"/>
        <w:spacing w:after="0" w:line="249" w:lineRule="auto"/>
        <w:rPr>
          <w:sz w:val="20"/>
          <w:szCs w:val="20"/>
          <w:color w:val="auto"/>
        </w:rPr>
      </w:pPr>
      <w:r>
        <w:rPr>
          <w:rFonts w:ascii="Times New Roman" w:cs="Times New Roman" w:eastAsia="Times New Roman" w:hAnsi="Times New Roman"/>
          <w:sz w:val="18"/>
          <w:szCs w:val="18"/>
          <w:color w:val="auto"/>
        </w:rPr>
        <w:t>Information regarding the directors and executive officers of BankUnited, Inc. and information regarding Section 16(a) compliance, the Audit and Risk Committees, the Company's code of ethics, background of the directors and director nominations appearing under the captions "Section 16(a) Beneficial Ownership Reporting Compliance," "Committees of the Board of Directors," "Corporate Governance Guidelines, Code of Conduct and Code of Ethics," "Director Nominating Process and Diversity," "Election of Directors" and "Insider Trading Policy" in the Company's Proxy Statement for the 2026 Annual Meeting of Stockholders (the "2026 Proxy Statement") is hereby incorporated by reference.</w:t>
      </w:r>
    </w:p>
    <w:p>
      <w:pPr>
        <w:spacing w:after="0" w:line="18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50" w:lineRule="exact"/>
        <w:rPr>
          <w:sz w:val="20"/>
          <w:szCs w:val="20"/>
          <w:color w:val="auto"/>
        </w:rPr>
      </w:pPr>
    </w:p>
    <w:p>
      <w:pPr>
        <w:ind w:right="280" w:firstLine="315"/>
        <w:spacing w:after="0" w:line="268" w:lineRule="auto"/>
        <w:rPr>
          <w:sz w:val="20"/>
          <w:szCs w:val="20"/>
          <w:color w:val="auto"/>
        </w:rPr>
      </w:pPr>
      <w:r>
        <w:rPr>
          <w:rFonts w:ascii="Times New Roman" w:cs="Times New Roman" w:eastAsia="Times New Roman" w:hAnsi="Times New Roman"/>
          <w:sz w:val="18"/>
          <w:szCs w:val="18"/>
          <w:color w:val="auto"/>
        </w:rPr>
        <w:t>Information appearing under the captions "Director Compensation" and "Compensation of our Named Executive Officers" in the 2026 Proxy Statement (other than the "Compensation Committee Report," which is deemed furnished herein by reference) is hereby incorporated by reference.</w:t>
      </w:r>
    </w:p>
    <w:p>
      <w:pPr>
        <w:spacing w:after="0" w:line="1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37" w:lineRule="exact"/>
        <w:rPr>
          <w:sz w:val="20"/>
          <w:szCs w:val="20"/>
          <w:color w:val="auto"/>
        </w:rPr>
      </w:pPr>
    </w:p>
    <w:p>
      <w:pPr>
        <w:ind w:firstLine="315"/>
        <w:spacing w:after="0" w:line="256" w:lineRule="auto"/>
        <w:rPr>
          <w:sz w:val="20"/>
          <w:szCs w:val="20"/>
          <w:color w:val="auto"/>
        </w:rPr>
      </w:pPr>
      <w:r>
        <w:rPr>
          <w:rFonts w:ascii="Times New Roman" w:cs="Times New Roman" w:eastAsia="Times New Roman" w:hAnsi="Times New Roman"/>
          <w:sz w:val="18"/>
          <w:szCs w:val="18"/>
          <w:color w:val="auto"/>
        </w:rPr>
        <w:t>Information setting forth the security ownership of certain beneficial owners and management appearing under the caption "Beneficial Ownership of the Company's Common Stock" and information in the "Equity Compensation Plans" table appearing under the caption "Equity Compensation Plan Information" in the 2026 Proxy Statement is hereby incorporated by reference.</w:t>
      </w:r>
    </w:p>
    <w:p>
      <w:pPr>
        <w:spacing w:after="0" w:line="1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50" w:lineRule="exact"/>
        <w:rPr>
          <w:sz w:val="20"/>
          <w:szCs w:val="20"/>
          <w:color w:val="auto"/>
        </w:rPr>
      </w:pPr>
    </w:p>
    <w:p>
      <w:pPr>
        <w:ind w:right="220" w:firstLine="315"/>
        <w:spacing w:after="0" w:line="268" w:lineRule="auto"/>
        <w:rPr>
          <w:sz w:val="20"/>
          <w:szCs w:val="20"/>
          <w:color w:val="auto"/>
        </w:rPr>
      </w:pPr>
      <w:r>
        <w:rPr>
          <w:rFonts w:ascii="Times New Roman" w:cs="Times New Roman" w:eastAsia="Times New Roman" w:hAnsi="Times New Roman"/>
          <w:sz w:val="18"/>
          <w:szCs w:val="18"/>
          <w:color w:val="auto"/>
        </w:rPr>
        <w:t>Information regarding certain related transactions appearing under the captions "Certain Related Party Relationships" and information regarding director independence appearing under the caption "Director Independence" in the 2026 Proxy Statement is hereby incorporated by reference.</w:t>
      </w:r>
    </w:p>
    <w:p>
      <w:pPr>
        <w:spacing w:after="0" w:line="1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50" w:lineRule="exact"/>
        <w:rPr>
          <w:sz w:val="20"/>
          <w:szCs w:val="20"/>
          <w:color w:val="auto"/>
        </w:rPr>
      </w:pPr>
    </w:p>
    <w:p>
      <w:pPr>
        <w:ind w:right="60" w:firstLine="315"/>
        <w:spacing w:after="0" w:line="268" w:lineRule="auto"/>
        <w:rPr>
          <w:sz w:val="20"/>
          <w:szCs w:val="20"/>
          <w:color w:val="auto"/>
        </w:rPr>
      </w:pPr>
      <w:r>
        <w:rPr>
          <w:rFonts w:ascii="Times New Roman" w:cs="Times New Roman" w:eastAsia="Times New Roman" w:hAnsi="Times New Roman"/>
          <w:sz w:val="18"/>
          <w:szCs w:val="18"/>
          <w:color w:val="auto"/>
        </w:rPr>
        <w:t>Information appearing under the captions "Auditor Fees and Services" and "Policy on Audit Committee Pre-Approval of Audit and Permissible Non-Audit Services of Independent Auditors" in the 2026 Proxy Statement is hereby incorporated by reference.</w:t>
      </w: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34" w:name="page135"/>
    <w:bookmarkEnd w:id="134"/>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Financial Statement Schedules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documents filed as part of this report:</w:t>
      </w:r>
    </w:p>
    <w:p>
      <w:pPr>
        <w:spacing w:after="0" w:line="148"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6"/>
          <w:szCs w:val="16"/>
          <w:color w:val="auto"/>
        </w:rPr>
        <w:t>Financial Statements: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2025, 2024 and 2023</w:t>
      </w:r>
    </w:p>
    <w:p>
      <w:pPr>
        <w:spacing w:after="0" w:line="148" w:lineRule="exact"/>
        <w:rPr>
          <w:sz w:val="20"/>
          <w:szCs w:val="20"/>
          <w:color w:val="auto"/>
        </w:rPr>
      </w:pPr>
    </w:p>
    <w:p>
      <w:pPr>
        <w:ind w:left="500" w:right="2640"/>
        <w:spacing w:after="0" w:line="407" w:lineRule="auto"/>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2025, 2024 and 2023 Consolidated Statements of Cash Flows for the years ended December 31, 2025, 2024 and 2023 Consolidated Statements of Stockholders' Equity for the years ended December 31, 2025, 2024 and 2023 Notes to Consolidated Financial Statements</w:t>
      </w:r>
    </w:p>
    <w:p>
      <w:pPr>
        <w:spacing w:after="0" w:line="2" w:lineRule="exact"/>
        <w:rPr>
          <w:sz w:val="20"/>
          <w:szCs w:val="20"/>
          <w:color w:val="auto"/>
        </w:rPr>
      </w:pPr>
    </w:p>
    <w:p>
      <w:pPr>
        <w:ind w:left="640" w:hanging="319"/>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34" w:lineRule="exact"/>
        <w:rPr>
          <w:rFonts w:ascii="Times New Roman" w:cs="Times New Roman" w:eastAsia="Times New Roman" w:hAnsi="Times New Roman"/>
          <w:sz w:val="18"/>
          <w:szCs w:val="18"/>
          <w:color w:val="auto"/>
        </w:rPr>
      </w:pPr>
    </w:p>
    <w:p>
      <w:pPr>
        <w:ind w:left="6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are omitted as not required or not applicable or because the information is included in the Consolidated Financial Statements or notes thereto.</w:t>
      </w:r>
    </w:p>
    <w:p>
      <w:pPr>
        <w:spacing w:after="0" w:line="10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14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list in the Exhibit Index is incorporated herein by reference as the list of exhibits required as part of this report.</w:t>
      </w:r>
    </w:p>
    <w:p>
      <w:pPr>
        <w:spacing w:after="0" w:line="200" w:lineRule="exact"/>
        <w:rPr>
          <w:sz w:val="20"/>
          <w:szCs w:val="20"/>
          <w:color w:val="auto"/>
        </w:rPr>
      </w:pPr>
    </w:p>
    <w:p>
      <w:pPr>
        <w:spacing w:after="0" w:line="34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6153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00"/>
          </w:cols>
          <w:pgMar w:left="320" w:top="1144" w:right="87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17"/>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05"/>
        </w:trPr>
        <w:tc>
          <w:tcPr>
            <w:tcW w:w="182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gridSpan w:val="21"/>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82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4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460" w:type="dxa"/>
            <w:vAlign w:val="bottom"/>
            <w:tcBorders>
              <w:top w:val="single" w:sz="8" w:color="auto"/>
            </w:tcBorders>
            <w:gridSpan w:val="5"/>
          </w:tcPr>
          <w:p>
            <w:pPr>
              <w:jc w:val="right"/>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00" w:type="dxa"/>
            <w:vAlign w:val="bottom"/>
            <w:tcBorders>
              <w:top w:val="single" w:sz="8" w:color="auto"/>
            </w:tcBorders>
            <w:gridSpan w:val="25"/>
          </w:tcPr>
          <w:p>
            <w:pPr>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240" w:type="dxa"/>
            <w:vAlign w:val="bottom"/>
            <w:gridSpan w:val="3"/>
          </w:tcPr>
          <w:p>
            <w:pPr>
              <w:spacing w:after="0"/>
              <w:rPr>
                <w:sz w:val="24"/>
                <w:szCs w:val="24"/>
                <w:color w:val="auto"/>
              </w:rPr>
            </w:pPr>
          </w:p>
        </w:tc>
        <w:tc>
          <w:tcPr>
            <w:tcW w:w="22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r:id="rId197">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2</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6"/>
              </w:rPr>
            </w:pPr>
            <w:hyperlink r:id="rId197">
              <w:r>
                <w:rPr>
                  <w:rFonts w:ascii="Times New Roman" w:cs="Times New Roman" w:eastAsia="Times New Roman" w:hAnsi="Times New Roman"/>
                  <w:sz w:val="18"/>
                  <w:szCs w:val="18"/>
                  <w:color w:val="0000FF"/>
                  <w:w w:val="96"/>
                </w:rPr>
                <w:t>Amended and Restated By-Laws</w:t>
              </w:r>
            </w:hyperlink>
          </w:p>
        </w:tc>
        <w:tc>
          <w:tcPr>
            <w:tcW w:w="28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240" w:type="dxa"/>
            <w:vAlign w:val="bottom"/>
            <w:gridSpan w:val="3"/>
          </w:tcPr>
          <w:p>
            <w:pPr>
              <w:spacing w:after="0"/>
              <w:rPr>
                <w:sz w:val="24"/>
                <w:szCs w:val="24"/>
                <w:color w:val="auto"/>
              </w:rPr>
            </w:pPr>
          </w:p>
        </w:tc>
        <w:tc>
          <w:tcPr>
            <w:tcW w:w="22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r:id="rId198">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198">
              <w:r>
                <w:rPr>
                  <w:rFonts w:ascii="Times New Roman" w:cs="Times New Roman" w:eastAsia="Times New Roman" w:hAnsi="Times New Roman"/>
                  <w:sz w:val="18"/>
                  <w:szCs w:val="18"/>
                  <w:color w:val="0000FF"/>
                  <w:w w:val="97"/>
                </w:rPr>
                <w:t>Specimen common stock certificate</w:t>
              </w:r>
            </w:hyperlink>
          </w:p>
        </w:tc>
        <w:tc>
          <w:tcPr>
            <w:tcW w:w="26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60" w:type="dxa"/>
            <w:vAlign w:val="bottom"/>
            <w:gridSpan w:val="5"/>
          </w:tcPr>
          <w:p>
            <w:pPr>
              <w:jc w:val="right"/>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5"/>
          </w:tcPr>
          <w:p>
            <w:pPr>
              <w:spacing w:after="0"/>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Indenture dated as of November 17, 2015 between BankUnited, Inc. and</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9"/>
          </w:tcPr>
          <w:p>
            <w:pPr>
              <w:spacing w:after="0" w:line="151"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U.S. Bank National Association, as trustee</w:t>
              </w:r>
            </w:hyperlink>
          </w:p>
        </w:tc>
        <w:tc>
          <w:tcPr>
            <w:tcW w:w="20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460" w:type="dxa"/>
            <w:vAlign w:val="bottom"/>
            <w:gridSpan w:val="5"/>
          </w:tcPr>
          <w:p>
            <w:pPr>
              <w:jc w:val="right"/>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0" w:type="dxa"/>
            <w:vAlign w:val="bottom"/>
            <w:gridSpan w:val="25"/>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Indenture dated as of June 11, 2020 between BankUnited, Inc. and U.S.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7"/>
          </w:tcPr>
          <w:p>
            <w:pPr>
              <w:spacing w:after="0" w:line="151"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Bank National Association, as trustee</w:t>
              </w:r>
            </w:hyperlink>
          </w:p>
        </w:tc>
        <w:tc>
          <w:tcPr>
            <w:tcW w:w="2380" w:type="dxa"/>
            <w:vAlign w:val="bottom"/>
            <w:tcBorders>
              <w:top w:val="single" w:sz="8" w:color="0000FF"/>
            </w:tcBorders>
            <w:gridSpan w:val="1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460" w:type="dxa"/>
            <w:vAlign w:val="bottom"/>
            <w:gridSpan w:val="5"/>
          </w:tcPr>
          <w:p>
            <w:pPr>
              <w:jc w:val="right"/>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0" w:type="dxa"/>
            <w:vAlign w:val="bottom"/>
            <w:gridSpan w:val="25"/>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First Supplemental Indenture dated as of June 11, 2020 between</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14"/>
          </w:tcPr>
          <w:p>
            <w:pPr>
              <w:spacing w:after="0" w:line="151"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BankUnited, Inc. and U.S. Bank National Association, as trustee</w:t>
              </w:r>
            </w:hyperlink>
          </w:p>
        </w:tc>
        <w:tc>
          <w:tcPr>
            <w:tcW w:w="4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240" w:type="dxa"/>
            <w:vAlign w:val="bottom"/>
            <w:gridSpan w:val="3"/>
          </w:tcPr>
          <w:p>
            <w:pPr>
              <w:spacing w:after="0"/>
              <w:rPr>
                <w:sz w:val="18"/>
                <w:szCs w:val="18"/>
                <w:color w:val="auto"/>
              </w:rPr>
            </w:pPr>
          </w:p>
        </w:tc>
        <w:tc>
          <w:tcPr>
            <w:tcW w:w="22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r:id="rId201">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7</w:t>
              </w:r>
            </w:hyperlink>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6"/>
              </w:rPr>
            </w:pPr>
            <w:hyperlink r:id="rId201">
              <w:r>
                <w:rPr>
                  <w:rFonts w:ascii="Times New Roman" w:cs="Times New Roman" w:eastAsia="Times New Roman" w:hAnsi="Times New Roman"/>
                  <w:sz w:val="18"/>
                  <w:szCs w:val="18"/>
                  <w:color w:val="0000FF"/>
                  <w:w w:val="96"/>
                </w:rPr>
                <w:t>Form of 5.125% Subordinated Notes due 2030</w:t>
              </w:r>
            </w:hyperlink>
          </w:p>
        </w:tc>
        <w:tc>
          <w:tcPr>
            <w:tcW w:w="192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1460" w:type="dxa"/>
            <w:vAlign w:val="bottom"/>
            <w:gridSpan w:val="5"/>
          </w:tcPr>
          <w:p>
            <w:pPr>
              <w:jc w:val="right"/>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5"/>
          </w:tcPr>
          <w:p>
            <w:pPr>
              <w:spacing w:after="0"/>
              <w:rPr>
                <w:rFonts w:ascii="Times New Roman" w:cs="Times New Roman" w:eastAsia="Times New Roman" w:hAnsi="Times New Roman"/>
                <w:sz w:val="18"/>
                <w:szCs w:val="18"/>
                <w:color w:val="0000FF"/>
                <w:w w:val="98"/>
              </w:rPr>
            </w:pPr>
            <w:hyperlink r:id="rId202">
              <w:r>
                <w:rPr>
                  <w:rFonts w:ascii="Times New Roman" w:cs="Times New Roman" w:eastAsia="Times New Roman" w:hAnsi="Times New Roman"/>
                  <w:sz w:val="18"/>
                  <w:szCs w:val="18"/>
                  <w:color w:val="0000FF"/>
                  <w:w w:val="98"/>
                </w:rPr>
                <w:t>Description of the registrant's securities registered pursuant to Section 12</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8"/>
          </w:tcPr>
          <w:p>
            <w:pPr>
              <w:spacing w:after="0" w:line="151"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of the Securities Exchange Act of 1934</w:t>
              </w:r>
            </w:hyperlink>
          </w:p>
        </w:tc>
        <w:tc>
          <w:tcPr>
            <w:tcW w:w="236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160" w:type="dxa"/>
            <w:vAlign w:val="bottom"/>
            <w:gridSpan w:val="2"/>
          </w:tcPr>
          <w:p>
            <w:pPr>
              <w:spacing w:after="0"/>
              <w:rPr>
                <w:sz w:val="18"/>
                <w:szCs w:val="18"/>
                <w:color w:val="auto"/>
              </w:rPr>
            </w:pPr>
          </w:p>
        </w:tc>
        <w:tc>
          <w:tcPr>
            <w:tcW w:w="320" w:type="dxa"/>
            <w:vAlign w:val="bottom"/>
            <w:gridSpan w:val="4"/>
          </w:tcPr>
          <w:p>
            <w:pPr>
              <w:jc w:val="right"/>
              <w:ind w:right="20"/>
              <w:spacing w:after="0"/>
              <w:rPr>
                <w:rFonts w:ascii="Times New Roman" w:cs="Times New Roman" w:eastAsia="Times New Roman" w:hAnsi="Times New Roman"/>
                <w:sz w:val="18"/>
                <w:szCs w:val="18"/>
                <w:color w:val="0000FF"/>
                <w:w w:val="88"/>
              </w:rPr>
            </w:pPr>
            <w:hyperlink r:id="rId203">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w:t>
              </w:r>
            </w:hyperlink>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0" w:type="dxa"/>
            <w:vAlign w:val="bottom"/>
            <w:gridSpan w:val="25"/>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BankUnited, N.A. Non-Qualified Deferred Compensation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080" w:type="dxa"/>
            <w:vAlign w:val="bottom"/>
          </w:tcPr>
          <w:p>
            <w:pPr>
              <w:spacing w:after="0"/>
              <w:rPr>
                <w:sz w:val="24"/>
                <w:szCs w:val="24"/>
                <w:color w:val="auto"/>
              </w:rPr>
            </w:pPr>
          </w:p>
        </w:tc>
        <w:tc>
          <w:tcPr>
            <w:tcW w:w="740" w:type="dxa"/>
            <w:vAlign w:val="bottom"/>
            <w:gridSpan w:val="6"/>
          </w:tcPr>
          <w:p>
            <w:pPr>
              <w:jc w:val="right"/>
              <w:ind w:right="360"/>
              <w:spacing w:after="0"/>
              <w:rPr>
                <w:rFonts w:ascii="Times New Roman" w:cs="Times New Roman" w:eastAsia="Times New Roman" w:hAnsi="Times New Roman"/>
                <w:sz w:val="18"/>
                <w:szCs w:val="18"/>
                <w:color w:val="0000FF"/>
                <w:w w:val="91"/>
              </w:rPr>
            </w:pPr>
            <w:hyperlink r:id="rId204">
              <w:r>
                <w:rPr>
                  <w:rFonts w:ascii="Times New Roman" w:cs="Times New Roman" w:eastAsia="Times New Roman" w:hAnsi="Times New Roman"/>
                  <w:sz w:val="18"/>
                  <w:szCs w:val="18"/>
                  <w:color w:val="0000FF"/>
                  <w:w w:val="91"/>
                </w:rPr>
                <w:t>10.</w:t>
              </w:r>
              <w:r>
                <w:rPr>
                  <w:rFonts w:ascii="Times New Roman" w:cs="Times New Roman" w:eastAsia="Times New Roman" w:hAnsi="Times New Roman"/>
                  <w:sz w:val="18"/>
                  <w:szCs w:val="18"/>
                  <w:u w:val="single" w:color="auto"/>
                  <w:color w:val="0000FF"/>
                  <w:w w:val="91"/>
                </w:rPr>
                <w:t>1a</w:t>
              </w:r>
            </w:hyperlink>
          </w:p>
        </w:tc>
        <w:tc>
          <w:tcPr>
            <w:tcW w:w="20" w:type="dxa"/>
            <w:vAlign w:val="bottom"/>
          </w:tcPr>
          <w:p>
            <w:pPr>
              <w:spacing w:after="0"/>
              <w:rPr>
                <w:sz w:val="24"/>
                <w:szCs w:val="24"/>
                <w:color w:val="auto"/>
              </w:rPr>
            </w:pPr>
          </w:p>
        </w:tc>
        <w:tc>
          <w:tcPr>
            <w:tcW w:w="5200" w:type="dxa"/>
            <w:vAlign w:val="bottom"/>
            <w:gridSpan w:val="25"/>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Amendment to the BankUnited, N.A. Non-Qualified Deferred</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3"/>
          </w:tcPr>
          <w:p>
            <w:pPr>
              <w:spacing w:after="0" w:line="151" w:lineRule="exact"/>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Compensation Plan</w:t>
              </w:r>
            </w:hyperlink>
          </w:p>
        </w:tc>
        <w:tc>
          <w:tcPr>
            <w:tcW w:w="3040" w:type="dxa"/>
            <w:vAlign w:val="bottom"/>
            <w:tcBorders>
              <w:top w:val="single" w:sz="8" w:color="0000FF"/>
            </w:tcBorders>
            <w:gridSpan w:val="10"/>
          </w:tcPr>
          <w:p>
            <w:pPr>
              <w:spacing w:after="0"/>
              <w:rPr>
                <w:sz w:val="13"/>
                <w:szCs w:val="13"/>
                <w:color w:val="auto"/>
              </w:rPr>
            </w:pPr>
          </w:p>
        </w:tc>
        <w:tc>
          <w:tcPr>
            <w:tcW w:w="16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480" w:type="dxa"/>
            <w:vAlign w:val="bottom"/>
            <w:gridSpan w:val="6"/>
          </w:tcPr>
          <w:p>
            <w:pPr>
              <w:jc w:val="right"/>
              <w:ind w:right="20"/>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0" w:type="dxa"/>
            <w:vAlign w:val="bottom"/>
            <w:gridSpan w:val="25"/>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BankUnited, Inc. (formerly known as BU Financial Corporation) 2009</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Stock Option Plan</w:t>
              </w:r>
            </w:hyperlink>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80" w:type="dxa"/>
            <w:vAlign w:val="bottom"/>
          </w:tcPr>
          <w:p>
            <w:pPr>
              <w:spacing w:after="0"/>
              <w:rPr>
                <w:sz w:val="18"/>
                <w:szCs w:val="18"/>
                <w:color w:val="auto"/>
              </w:rPr>
            </w:pPr>
          </w:p>
        </w:tc>
        <w:tc>
          <w:tcPr>
            <w:tcW w:w="740" w:type="dxa"/>
            <w:vAlign w:val="bottom"/>
            <w:gridSpan w:val="6"/>
          </w:tcPr>
          <w:p>
            <w:pPr>
              <w:jc w:val="right"/>
              <w:ind w:right="360"/>
              <w:spacing w:after="0"/>
              <w:rPr>
                <w:rFonts w:ascii="Times New Roman" w:cs="Times New Roman" w:eastAsia="Times New Roman" w:hAnsi="Times New Roman"/>
                <w:sz w:val="18"/>
                <w:szCs w:val="18"/>
                <w:color w:val="0000FF"/>
                <w:w w:val="91"/>
              </w:rPr>
            </w:pPr>
            <w:hyperlink r:id="rId206">
              <w:r>
                <w:rPr>
                  <w:rFonts w:ascii="Times New Roman" w:cs="Times New Roman" w:eastAsia="Times New Roman" w:hAnsi="Times New Roman"/>
                  <w:sz w:val="18"/>
                  <w:szCs w:val="18"/>
                  <w:color w:val="0000FF"/>
                  <w:w w:val="91"/>
                </w:rPr>
                <w:t>10.</w:t>
              </w:r>
              <w:r>
                <w:rPr>
                  <w:rFonts w:ascii="Times New Roman" w:cs="Times New Roman" w:eastAsia="Times New Roman" w:hAnsi="Times New Roman"/>
                  <w:sz w:val="18"/>
                  <w:szCs w:val="18"/>
                  <w:u w:val="single" w:color="auto"/>
                  <w:color w:val="0000FF"/>
                  <w:w w:val="91"/>
                </w:rPr>
                <w:t>3a</w:t>
              </w:r>
            </w:hyperlink>
          </w:p>
        </w:tc>
        <w:tc>
          <w:tcPr>
            <w:tcW w:w="20" w:type="dxa"/>
            <w:vAlign w:val="bottom"/>
          </w:tcPr>
          <w:p>
            <w:pPr>
              <w:spacing w:after="0"/>
              <w:rPr>
                <w:sz w:val="18"/>
                <w:szCs w:val="18"/>
                <w:color w:val="auto"/>
              </w:rPr>
            </w:pPr>
          </w:p>
        </w:tc>
        <w:tc>
          <w:tcPr>
            <w:tcW w:w="5200" w:type="dxa"/>
            <w:vAlign w:val="bottom"/>
            <w:gridSpan w:val="25"/>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BankUnited, Inc. 2010 Omnibus Equity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820" w:type="dxa"/>
            <w:vAlign w:val="bottom"/>
            <w:gridSpan w:val="7"/>
          </w:tcPr>
          <w:p>
            <w:pPr>
              <w:jc w:val="right"/>
              <w:ind w:right="360"/>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3b</w:t>
              </w:r>
            </w:hyperlink>
          </w:p>
        </w:tc>
        <w:tc>
          <w:tcPr>
            <w:tcW w:w="20" w:type="dxa"/>
            <w:vAlign w:val="bottom"/>
          </w:tcPr>
          <w:p>
            <w:pPr>
              <w:spacing w:after="0"/>
              <w:rPr>
                <w:sz w:val="24"/>
                <w:szCs w:val="24"/>
                <w:color w:val="auto"/>
              </w:rPr>
            </w:pPr>
          </w:p>
        </w:tc>
        <w:tc>
          <w:tcPr>
            <w:tcW w:w="5200" w:type="dxa"/>
            <w:vAlign w:val="bottom"/>
            <w:gridSpan w:val="25"/>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BankUnited, Inc. 2014 Omnibus Equity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080" w:type="dxa"/>
            <w:vAlign w:val="bottom"/>
          </w:tcPr>
          <w:p>
            <w:pPr>
              <w:spacing w:after="0"/>
              <w:rPr>
                <w:sz w:val="24"/>
                <w:szCs w:val="24"/>
                <w:color w:val="auto"/>
              </w:rPr>
            </w:pPr>
          </w:p>
        </w:tc>
        <w:tc>
          <w:tcPr>
            <w:tcW w:w="740" w:type="dxa"/>
            <w:vAlign w:val="bottom"/>
            <w:gridSpan w:val="6"/>
          </w:tcPr>
          <w:p>
            <w:pPr>
              <w:jc w:val="right"/>
              <w:ind w:right="360"/>
              <w:spacing w:after="0"/>
              <w:rPr>
                <w:rFonts w:ascii="Times New Roman" w:cs="Times New Roman" w:eastAsia="Times New Roman" w:hAnsi="Times New Roman"/>
                <w:sz w:val="18"/>
                <w:szCs w:val="18"/>
                <w:color w:val="0000FF"/>
                <w:w w:val="91"/>
              </w:rPr>
            </w:pPr>
            <w:hyperlink r:id="rId208">
              <w:r>
                <w:rPr>
                  <w:rFonts w:ascii="Times New Roman" w:cs="Times New Roman" w:eastAsia="Times New Roman" w:hAnsi="Times New Roman"/>
                  <w:sz w:val="18"/>
                  <w:szCs w:val="18"/>
                  <w:color w:val="0000FF"/>
                  <w:w w:val="91"/>
                </w:rPr>
                <w:t>10.</w:t>
              </w:r>
              <w:r>
                <w:rPr>
                  <w:rFonts w:ascii="Times New Roman" w:cs="Times New Roman" w:eastAsia="Times New Roman" w:hAnsi="Times New Roman"/>
                  <w:sz w:val="18"/>
                  <w:szCs w:val="18"/>
                  <w:u w:val="single" w:color="auto"/>
                  <w:color w:val="0000FF"/>
                  <w:w w:val="91"/>
                </w:rPr>
                <w:t>3c</w:t>
              </w:r>
            </w:hyperlink>
          </w:p>
        </w:tc>
        <w:tc>
          <w:tcPr>
            <w:tcW w:w="20" w:type="dxa"/>
            <w:vAlign w:val="bottom"/>
          </w:tcPr>
          <w:p>
            <w:pPr>
              <w:spacing w:after="0"/>
              <w:rPr>
                <w:sz w:val="24"/>
                <w:szCs w:val="24"/>
                <w:color w:val="auto"/>
              </w:rPr>
            </w:pPr>
          </w:p>
        </w:tc>
        <w:tc>
          <w:tcPr>
            <w:tcW w:w="5200" w:type="dxa"/>
            <w:vAlign w:val="bottom"/>
            <w:gridSpan w:val="25"/>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Amendment No. 1 to the BankUnited, Inc. 2014 Omnibus Equity</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tcPr>
          <w:p>
            <w:pPr>
              <w:spacing w:after="0" w:line="151" w:lineRule="exact"/>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Incentive Plan</w:t>
              </w:r>
            </w:hyperlink>
          </w:p>
        </w:tc>
        <w:tc>
          <w:tcPr>
            <w:tcW w:w="3560" w:type="dxa"/>
            <w:vAlign w:val="bottom"/>
            <w:tcBorders>
              <w:top w:val="single" w:sz="8" w:color="0000FF"/>
            </w:tcBorders>
            <w:gridSpan w:val="15"/>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820" w:type="dxa"/>
            <w:vAlign w:val="bottom"/>
            <w:gridSpan w:val="7"/>
          </w:tcPr>
          <w:p>
            <w:pPr>
              <w:jc w:val="right"/>
              <w:ind w:right="360"/>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3d</w:t>
              </w:r>
            </w:hyperlink>
          </w:p>
        </w:tc>
        <w:tc>
          <w:tcPr>
            <w:tcW w:w="20" w:type="dxa"/>
            <w:vAlign w:val="bottom"/>
          </w:tcPr>
          <w:p>
            <w:pPr>
              <w:spacing w:after="0"/>
              <w:rPr>
                <w:sz w:val="18"/>
                <w:szCs w:val="18"/>
                <w:color w:val="auto"/>
              </w:rPr>
            </w:pPr>
          </w:p>
        </w:tc>
        <w:tc>
          <w:tcPr>
            <w:tcW w:w="5200" w:type="dxa"/>
            <w:vAlign w:val="bottom"/>
            <w:gridSpan w:val="25"/>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BankUnited, Inc. 2023 Omnibus Equity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080" w:type="dxa"/>
            <w:vAlign w:val="bottom"/>
          </w:tcPr>
          <w:p>
            <w:pPr>
              <w:spacing w:after="0"/>
              <w:rPr>
                <w:sz w:val="24"/>
                <w:szCs w:val="24"/>
                <w:color w:val="auto"/>
              </w:rPr>
            </w:pPr>
          </w:p>
        </w:tc>
        <w:tc>
          <w:tcPr>
            <w:tcW w:w="740" w:type="dxa"/>
            <w:vAlign w:val="bottom"/>
            <w:gridSpan w:val="6"/>
          </w:tcPr>
          <w:p>
            <w:pPr>
              <w:jc w:val="right"/>
              <w:ind w:right="360"/>
              <w:spacing w:after="0"/>
              <w:rPr>
                <w:rFonts w:ascii="Times New Roman" w:cs="Times New Roman" w:eastAsia="Times New Roman" w:hAnsi="Times New Roman"/>
                <w:sz w:val="18"/>
                <w:szCs w:val="18"/>
                <w:color w:val="0000FF"/>
                <w:w w:val="91"/>
              </w:rPr>
            </w:pPr>
            <w:hyperlink r:id="rId210">
              <w:r>
                <w:rPr>
                  <w:rFonts w:ascii="Times New Roman" w:cs="Times New Roman" w:eastAsia="Times New Roman" w:hAnsi="Times New Roman"/>
                  <w:sz w:val="18"/>
                  <w:szCs w:val="18"/>
                  <w:color w:val="0000FF"/>
                  <w:w w:val="91"/>
                </w:rPr>
                <w:t>10.</w:t>
              </w:r>
              <w:r>
                <w:rPr>
                  <w:rFonts w:ascii="Times New Roman" w:cs="Times New Roman" w:eastAsia="Times New Roman" w:hAnsi="Times New Roman"/>
                  <w:sz w:val="18"/>
                  <w:szCs w:val="18"/>
                  <w:u w:val="single" w:color="auto"/>
                  <w:color w:val="0000FF"/>
                  <w:w w:val="91"/>
                </w:rPr>
                <w:t>4a</w:t>
              </w:r>
            </w:hyperlink>
          </w:p>
        </w:tc>
        <w:tc>
          <w:tcPr>
            <w:tcW w:w="20" w:type="dxa"/>
            <w:vAlign w:val="bottom"/>
          </w:tcPr>
          <w:p>
            <w:pPr>
              <w:spacing w:after="0"/>
              <w:rPr>
                <w:sz w:val="24"/>
                <w:szCs w:val="24"/>
                <w:color w:val="auto"/>
              </w:rPr>
            </w:pPr>
          </w:p>
        </w:tc>
        <w:tc>
          <w:tcPr>
            <w:tcW w:w="5200" w:type="dxa"/>
            <w:vAlign w:val="bottom"/>
            <w:gridSpan w:val="25"/>
          </w:tcPr>
          <w:p>
            <w:pPr>
              <w:spacing w:after="0"/>
              <w:rPr>
                <w:rFonts w:ascii="Times New Roman" w:cs="Times New Roman" w:eastAsia="Times New Roman" w:hAnsi="Times New Roman"/>
                <w:sz w:val="18"/>
                <w:szCs w:val="18"/>
                <w:color w:val="0000FF"/>
                <w:w w:val="98"/>
              </w:rPr>
            </w:pPr>
            <w:hyperlink r:id="rId210">
              <w:r>
                <w:rPr>
                  <w:rFonts w:ascii="Times New Roman" w:cs="Times New Roman" w:eastAsia="Times New Roman" w:hAnsi="Times New Roman"/>
                  <w:sz w:val="18"/>
                  <w:szCs w:val="18"/>
                  <w:color w:val="0000FF"/>
                  <w:w w:val="98"/>
                </w:rPr>
                <w:t>Registration Rights Agreement by and among BankUnited, Inc., John A.</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3060" w:type="dxa"/>
            <w:vAlign w:val="bottom"/>
            <w:gridSpan w:val="1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gridSpan w:val="25"/>
          </w:tcPr>
          <w:p>
            <w:pPr>
              <w:spacing w:after="0" w:line="151" w:lineRule="exact"/>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Kanas, Rajinder P. Singh, Douglas J. Pauls and John Bohlsen, and each of</w:t>
              </w:r>
            </w:hyperlink>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top w:val="single" w:sz="8" w:color="0000FF"/>
            </w:tcBorders>
            <w:gridSpan w:val="24"/>
          </w:tcPr>
          <w:p>
            <w:pPr>
              <w:spacing w:after="0" w:line="164"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the other parties thereto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gridSpan w:val="7"/>
          </w:tcPr>
          <w:p>
            <w:pPr>
              <w:jc w:val="right"/>
              <w:ind w:right="360"/>
              <w:spacing w:after="0" w:line="203"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4b</w:t>
              </w:r>
            </w:hyperlink>
          </w:p>
        </w:tc>
        <w:tc>
          <w:tcPr>
            <w:tcW w:w="20" w:type="dxa"/>
            <w:vAlign w:val="bottom"/>
          </w:tcPr>
          <w:p>
            <w:pPr>
              <w:spacing w:after="0"/>
              <w:rPr>
                <w:sz w:val="17"/>
                <w:szCs w:val="17"/>
                <w:color w:val="auto"/>
              </w:rPr>
            </w:pPr>
          </w:p>
        </w:tc>
        <w:tc>
          <w:tcPr>
            <w:tcW w:w="5200" w:type="dxa"/>
            <w:vAlign w:val="bottom"/>
            <w:gridSpan w:val="25"/>
          </w:tcPr>
          <w:p>
            <w:pPr>
              <w:spacing w:after="0" w:line="203"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Amendment No. 1, dated February 29, 2012, to Registration Rights</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gridSpan w:val="1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bottom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Agreement, dated February 2, 2011, by and among BankUnited, Inc.,</w:t>
              </w:r>
            </w:hyperlink>
          </w:p>
        </w:tc>
        <w:tc>
          <w:tcPr>
            <w:tcW w:w="3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bl>
    <w:p>
      <w:pPr>
        <w:ind w:left="1840" w:right="280"/>
        <w:spacing w:after="0" w:line="220" w:lineRule="auto"/>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John A. Kanas, Rajinder P. Singh, Douglas J. Pauls and John Bohlsen,</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and each of the other parties thereto</w:t>
        </w:r>
      </w:hyperlink>
    </w:p>
    <w:p>
      <w:pPr>
        <w:spacing w:after="0" w:line="200" w:lineRule="exact"/>
        <w:rPr>
          <w:sz w:val="20"/>
          <w:szCs w:val="20"/>
          <w:color w:val="auto"/>
        </w:rPr>
      </w:pPr>
    </w:p>
    <w:p>
      <w:pPr>
        <w:spacing w:after="0" w:line="27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159385</wp:posOffset>
            </wp:positionV>
            <wp:extent cx="716153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30480</wp:posOffset>
            </wp:positionV>
            <wp:extent cx="23901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35" w:lineRule="exact"/>
        <w:rPr>
          <w:sz w:val="20"/>
          <w:szCs w:val="20"/>
          <w:color w:val="auto"/>
        </w:rPr>
      </w:pPr>
    </w:p>
    <w:p>
      <w:pPr>
        <w:ind w:right="40"/>
        <w:spacing w:after="0" w:line="231"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Exhibit 3.1 to the Annual Report on Form 10-K of th</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Company filed February 28, 2018</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Exhibit 3.1 to the Current Report on Form 8-K of the</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Company filed August 15, 2016</w:t>
        </w:r>
      </w:hyperlink>
    </w:p>
    <w:p>
      <w:pPr>
        <w:spacing w:after="0" w:line="9" w:lineRule="exact"/>
        <w:rPr>
          <w:sz w:val="20"/>
          <w:szCs w:val="20"/>
          <w:color w:val="auto"/>
        </w:rPr>
      </w:pPr>
    </w:p>
    <w:p>
      <w:pPr>
        <w:spacing w:after="0" w:line="231"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Exhibit 4.1 to the Registration Statement on Form S-1</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of the Company filed January 18, 2011</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Exhibit 4.1 to the Current Report on Form 8-K of the</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Company filed November 17, 2015</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Exhibit 4.1 to the Current Report on Form 8-K of the</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Company filed June 11, 2020</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Exhibit 4.2 to the Current Report on Form 8-K of the</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Company filed June 11, 2020</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Exhibit 4.2 to the Current Report on Form 8-K of the</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Company filed, June 11, 2020</w:t>
        </w:r>
      </w:hyperlink>
    </w:p>
    <w:p>
      <w:pPr>
        <w:spacing w:after="0" w:line="9" w:lineRule="exact"/>
        <w:rPr>
          <w:sz w:val="20"/>
          <w:szCs w:val="20"/>
          <w:color w:val="auto"/>
        </w:rPr>
      </w:pPr>
    </w:p>
    <w:p>
      <w:pPr>
        <w:ind w:right="40"/>
        <w:spacing w:after="0" w:line="231" w:lineRule="auto"/>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Exhibit 4.8 to the Annual Report on Form 10-K of th</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Company filed February 20, 2024</w:t>
        </w:r>
      </w:hyperlink>
    </w:p>
    <w:p>
      <w:pPr>
        <w:spacing w:after="0" w:line="9" w:lineRule="exact"/>
        <w:rPr>
          <w:sz w:val="20"/>
          <w:szCs w:val="20"/>
          <w:color w:val="auto"/>
        </w:rPr>
      </w:pPr>
    </w:p>
    <w:p>
      <w:pPr>
        <w:ind w:right="40"/>
        <w:spacing w:after="0" w:line="231"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Exhibit 10.1b to the Annual Report on Form 10-K of</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the Company filed February 26, 2015</w:t>
        </w:r>
      </w:hyperlink>
    </w:p>
    <w:p>
      <w:pPr>
        <w:spacing w:after="0" w:line="9" w:lineRule="exact"/>
        <w:rPr>
          <w:sz w:val="20"/>
          <w:szCs w:val="20"/>
          <w:color w:val="auto"/>
        </w:rPr>
      </w:pPr>
    </w:p>
    <w:p>
      <w:pPr>
        <w:ind w:right="40"/>
        <w:spacing w:after="0" w:line="231"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Exhibit 10.1a to the Annual Report on Form 10-K of</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the Company filed February 26, 2016</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Exhibit 10.7 to the Registration Statement on Form S</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of the Company filed October 29, 2010</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Exhibit 10.8 to the Registration Statement on Form S</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of the Company filed January 18, 2011</w:t>
        </w:r>
      </w:hyperlink>
    </w:p>
    <w:p>
      <w:pPr>
        <w:spacing w:after="0" w:line="9" w:lineRule="exact"/>
        <w:rPr>
          <w:sz w:val="20"/>
          <w:szCs w:val="20"/>
          <w:color w:val="auto"/>
        </w:rPr>
      </w:pPr>
    </w:p>
    <w:p>
      <w:pPr>
        <w:spacing w:after="0" w:line="231"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Appendix A to the Proxy Statement on Schedule 14A</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the Company filed April 11, 2014</w:t>
        </w:r>
      </w:hyperlink>
    </w:p>
    <w:p>
      <w:pPr>
        <w:spacing w:after="0" w:line="9" w:lineRule="exact"/>
        <w:rPr>
          <w:sz w:val="20"/>
          <w:szCs w:val="20"/>
          <w:color w:val="auto"/>
        </w:rPr>
      </w:pPr>
    </w:p>
    <w:p>
      <w:pPr>
        <w:spacing w:after="0" w:line="231"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Appendix A to the Proxy Statement on Schedule 14A</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the Company filed April 10, 2020</w:t>
        </w:r>
      </w:hyperlink>
    </w:p>
    <w:p>
      <w:pPr>
        <w:spacing w:after="0" w:line="9"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Exhibit 10.1 to the Current Report on Form 8-K of th</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Company filed on May 16, 2023</w:t>
        </w:r>
      </w:hyperlink>
    </w:p>
    <w:p>
      <w:pPr>
        <w:spacing w:after="0" w:line="9" w:lineRule="exact"/>
        <w:rPr>
          <w:sz w:val="20"/>
          <w:szCs w:val="20"/>
          <w:color w:val="auto"/>
        </w:rPr>
      </w:pPr>
    </w:p>
    <w:p>
      <w:pPr>
        <w:ind w:right="120"/>
        <w:spacing w:after="0" w:line="231"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Exhibit 10.9 to Annual Report on Form 10-K of the</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Company filed March 31, 2011</w:t>
        </w:r>
      </w:hyperlink>
    </w:p>
    <w:p>
      <w:pPr>
        <w:spacing w:after="0" w:line="180"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Exhibit 10.3 to the Current Report on Form 8-K of th</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Company filed March 6, 2012</w:t>
        </w:r>
      </w:hyperlink>
    </w:p>
    <w:p>
      <w:pPr>
        <w:sectPr>
          <w:pgSz w:w="11900" w:h="16838" w:orient="portrait"/>
          <w:cols w:equalWidth="0" w:num="2">
            <w:col w:w="7040" w:space="240"/>
            <w:col w:w="3740"/>
          </w:cols>
          <w:pgMar w:left="640" w:top="1144"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1"/>
        </w:trPr>
        <w:tc>
          <w:tcPr>
            <w:tcW w:w="182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740" w:type="dxa"/>
            <w:vAlign w:val="bottom"/>
            <w:gridSpan w:val="30"/>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82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74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460" w:type="dxa"/>
            <w:vAlign w:val="bottom"/>
            <w:tcBorders>
              <w:top w:val="single" w:sz="8" w:color="auto"/>
            </w:tcBorders>
            <w:gridSpan w:val="5"/>
          </w:tcPr>
          <w:p>
            <w:pPr>
              <w:jc w:val="right"/>
              <w:spacing w:after="0" w:line="182"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60" w:type="dxa"/>
            <w:vAlign w:val="bottom"/>
            <w:tcBorders>
              <w:top w:val="single" w:sz="8" w:color="auto"/>
            </w:tcBorders>
            <w:gridSpan w:val="32"/>
          </w:tcPr>
          <w:p>
            <w:pPr>
              <w:spacing w:after="0" w:line="182"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indemnification agreement between BankUnited, Inc. and each</w:t>
              </w:r>
            </w:hyperlink>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22"/>
          </w:tcPr>
          <w:p>
            <w:pPr>
              <w:spacing w:after="0" w:line="164"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of its directors and executive officers</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gridSpan w:val="5"/>
          </w:tcPr>
          <w:p>
            <w:pPr>
              <w:jc w:val="right"/>
              <w:spacing w:after="0" w:line="203"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Borders>
              <w:bottom w:val="single" w:sz="8" w:color="0000FF"/>
            </w:tcBorders>
            <w:gridSpan w:val="17"/>
          </w:tcPr>
          <w:p>
            <w:pPr>
              <w:spacing w:after="0" w:line="203" w:lineRule="exact"/>
              <w:rPr>
                <w:rFonts w:ascii="Times New Roman" w:cs="Times New Roman" w:eastAsia="Times New Roman" w:hAnsi="Times New Roman"/>
                <w:sz w:val="18"/>
                <w:szCs w:val="18"/>
                <w:color w:val="0000FF"/>
                <w:w w:val="97"/>
              </w:rPr>
            </w:pPr>
            <w:hyperlink r:id="rId215">
              <w:r>
                <w:rPr>
                  <w:rFonts w:ascii="Times New Roman" w:cs="Times New Roman" w:eastAsia="Times New Roman" w:hAnsi="Times New Roman"/>
                  <w:sz w:val="18"/>
                  <w:szCs w:val="18"/>
                  <w:color w:val="0000FF"/>
                  <w:w w:val="97"/>
                </w:rPr>
                <w:t>BankUnited, Inc. Policy on Incentive Compensation Arrangements</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1000" w:type="dxa"/>
            <w:vAlign w:val="bottom"/>
          </w:tcPr>
          <w:p>
            <w:pPr>
              <w:spacing w:after="0"/>
              <w:rPr>
                <w:sz w:val="24"/>
                <w:szCs w:val="24"/>
                <w:color w:val="auto"/>
              </w:rPr>
            </w:pPr>
          </w:p>
        </w:tc>
        <w:tc>
          <w:tcPr>
            <w:tcW w:w="820" w:type="dxa"/>
            <w:vAlign w:val="bottom"/>
            <w:gridSpan w:val="6"/>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11a</w:t>
              </w:r>
            </w:hyperlink>
          </w:p>
        </w:tc>
        <w:tc>
          <w:tcPr>
            <w:tcW w:w="20" w:type="dxa"/>
            <w:vAlign w:val="bottom"/>
          </w:tcPr>
          <w:p>
            <w:pPr>
              <w:spacing w:after="0"/>
              <w:rPr>
                <w:sz w:val="24"/>
                <w:szCs w:val="24"/>
                <w:color w:val="auto"/>
              </w:rPr>
            </w:pPr>
          </w:p>
        </w:tc>
        <w:tc>
          <w:tcPr>
            <w:tcW w:w="5260" w:type="dxa"/>
            <w:vAlign w:val="bottom"/>
            <w:gridSpan w:val="32"/>
          </w:tcPr>
          <w:p>
            <w:pPr>
              <w:spacing w:after="0"/>
              <w:rPr>
                <w:rFonts w:ascii="Times New Roman" w:cs="Times New Roman" w:eastAsia="Times New Roman" w:hAnsi="Times New Roman"/>
                <w:sz w:val="18"/>
                <w:szCs w:val="18"/>
                <w:color w:val="0000FF"/>
                <w:w w:val="98"/>
              </w:rPr>
            </w:pPr>
            <w:hyperlink r:id="rId216">
              <w:r>
                <w:rPr>
                  <w:rFonts w:ascii="Times New Roman" w:cs="Times New Roman" w:eastAsia="Times New Roman" w:hAnsi="Times New Roman"/>
                  <w:sz w:val="18"/>
                  <w:szCs w:val="18"/>
                  <w:color w:val="0000FF"/>
                  <w:w w:val="98"/>
                </w:rPr>
                <w:t>Amended and Restated Employment Agreement, dated February 2, 2016,</w:t>
              </w:r>
            </w:hyperlink>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Borders>
              <w:top w:val="single" w:sz="8" w:color="0000FF"/>
              <w:bottom w:val="single" w:sz="8" w:color="0000FF"/>
            </w:tcBorders>
            <w:gridSpan w:val="10"/>
          </w:tcPr>
          <w:p>
            <w:pPr>
              <w:spacing w:after="0" w:line="164" w:lineRule="exact"/>
              <w:rPr>
                <w:rFonts w:ascii="Times New Roman" w:cs="Times New Roman" w:eastAsia="Times New Roman" w:hAnsi="Times New Roman"/>
                <w:sz w:val="18"/>
                <w:szCs w:val="18"/>
                <w:color w:val="0000FF"/>
                <w:w w:val="96"/>
              </w:rPr>
            </w:pPr>
            <w:hyperlink r:id="rId216">
              <w:r>
                <w:rPr>
                  <w:rFonts w:ascii="Times New Roman" w:cs="Times New Roman" w:eastAsia="Times New Roman" w:hAnsi="Times New Roman"/>
                  <w:sz w:val="18"/>
                  <w:szCs w:val="18"/>
                  <w:color w:val="0000FF"/>
                  <w:w w:val="96"/>
                </w:rPr>
                <w:t>by and between BankUnited, Inc. and Rajinder P. Singh</w:t>
              </w:r>
            </w:hyperlink>
          </w:p>
        </w:tc>
        <w:tc>
          <w:tcPr>
            <w:tcW w:w="130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820" w:type="dxa"/>
            <w:vAlign w:val="bottom"/>
            <w:gridSpan w:val="6"/>
          </w:tcPr>
          <w:p>
            <w:pPr>
              <w:spacing w:after="0" w:line="203"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11b</w:t>
              </w:r>
            </w:hyperlink>
          </w:p>
        </w:tc>
        <w:tc>
          <w:tcPr>
            <w:tcW w:w="20" w:type="dxa"/>
            <w:vAlign w:val="bottom"/>
          </w:tcPr>
          <w:p>
            <w:pPr>
              <w:spacing w:after="0"/>
              <w:rPr>
                <w:sz w:val="17"/>
                <w:szCs w:val="17"/>
                <w:color w:val="auto"/>
              </w:rPr>
            </w:pPr>
          </w:p>
        </w:tc>
        <w:tc>
          <w:tcPr>
            <w:tcW w:w="5260" w:type="dxa"/>
            <w:vAlign w:val="bottom"/>
            <w:gridSpan w:val="32"/>
          </w:tcPr>
          <w:p>
            <w:pPr>
              <w:spacing w:after="0" w:line="203"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Amendment, dated May 6, 2016, to Amended and Restated Employment</w:t>
              </w:r>
            </w:hyperlink>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top w:val="single" w:sz="8" w:color="0000FF"/>
            </w:tcBorders>
            <w:gridSpan w:val="28"/>
          </w:tcPr>
          <w:p>
            <w:pPr>
              <w:spacing w:after="0" w:line="164"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Agreement, dated February 2, 2016, by and between BankUnited, Inc.</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tcBorders>
            <w:gridSpan w:val="19"/>
          </w:tcPr>
          <w:p>
            <w:pPr>
              <w:spacing w:after="0" w:line="151"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and Rajinder P. Singh</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00" w:type="dxa"/>
            <w:vAlign w:val="bottom"/>
          </w:tcPr>
          <w:p>
            <w:pPr>
              <w:spacing w:after="0"/>
              <w:rPr>
                <w:sz w:val="23"/>
                <w:szCs w:val="23"/>
                <w:color w:val="auto"/>
              </w:rPr>
            </w:pPr>
          </w:p>
        </w:tc>
        <w:tc>
          <w:tcPr>
            <w:tcW w:w="820" w:type="dxa"/>
            <w:vAlign w:val="bottom"/>
            <w:gridSpan w:val="6"/>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11c</w:t>
              </w:r>
            </w:hyperlink>
          </w:p>
        </w:tc>
        <w:tc>
          <w:tcPr>
            <w:tcW w:w="20" w:type="dxa"/>
            <w:vAlign w:val="bottom"/>
          </w:tcPr>
          <w:p>
            <w:pPr>
              <w:spacing w:after="0"/>
              <w:rPr>
                <w:sz w:val="23"/>
                <w:szCs w:val="23"/>
                <w:color w:val="auto"/>
              </w:rPr>
            </w:pPr>
          </w:p>
        </w:tc>
        <w:tc>
          <w:tcPr>
            <w:tcW w:w="5260" w:type="dxa"/>
            <w:vAlign w:val="bottom"/>
            <w:gridSpan w:val="32"/>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Second Amendment, dated January 4, 2017, to Amended and Restated</w:t>
              </w:r>
            </w:hyperlink>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top w:val="single" w:sz="8" w:color="0000FF"/>
            </w:tcBorders>
            <w:gridSpan w:val="20"/>
          </w:tcPr>
          <w:p>
            <w:pPr>
              <w:spacing w:after="0" w:line="164" w:lineRule="exact"/>
              <w:rPr>
                <w:rFonts w:ascii="Times New Roman" w:cs="Times New Roman" w:eastAsia="Times New Roman" w:hAnsi="Times New Roman"/>
                <w:sz w:val="18"/>
                <w:szCs w:val="18"/>
                <w:color w:val="0000FF"/>
                <w:w w:val="97"/>
              </w:rPr>
            </w:pPr>
            <w:hyperlink r:id="rId218">
              <w:r>
                <w:rPr>
                  <w:rFonts w:ascii="Times New Roman" w:cs="Times New Roman" w:eastAsia="Times New Roman" w:hAnsi="Times New Roman"/>
                  <w:sz w:val="18"/>
                  <w:szCs w:val="18"/>
                  <w:color w:val="0000FF"/>
                  <w:w w:val="97"/>
                </w:rPr>
                <w:t>Employment Agreement, dated February 2, 2016, as amended on May</w:t>
              </w:r>
            </w:hyperlink>
          </w:p>
        </w:tc>
        <w:tc>
          <w:tcPr>
            <w:tcW w:w="220" w:type="dxa"/>
            <w:vAlign w:val="bottom"/>
            <w:gridSpan w:val="7"/>
          </w:tcPr>
          <w:p>
            <w:pPr>
              <w:jc w:val="right"/>
              <w:ind w:right="40"/>
              <w:spacing w:after="0" w:line="164"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6,</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26"/>
          </w:tcPr>
          <w:p>
            <w:pPr>
              <w:spacing w:after="0" w:line="151" w:lineRule="exact"/>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2016, by and between BankUnited, Inc. and Rajinder P. Singh</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spacing w:after="0"/>
              <w:rPr>
                <w:sz w:val="17"/>
                <w:szCs w:val="17"/>
                <w:color w:val="auto"/>
              </w:rPr>
            </w:pPr>
          </w:p>
        </w:tc>
        <w:tc>
          <w:tcPr>
            <w:tcW w:w="820" w:type="dxa"/>
            <w:vAlign w:val="bottom"/>
            <w:gridSpan w:val="6"/>
          </w:tcPr>
          <w:p>
            <w:pPr>
              <w:spacing w:after="0" w:line="203"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11d</w:t>
              </w:r>
            </w:hyperlink>
          </w:p>
        </w:tc>
        <w:tc>
          <w:tcPr>
            <w:tcW w:w="20" w:type="dxa"/>
            <w:vAlign w:val="bottom"/>
          </w:tcPr>
          <w:p>
            <w:pPr>
              <w:spacing w:after="0"/>
              <w:rPr>
                <w:sz w:val="17"/>
                <w:szCs w:val="17"/>
                <w:color w:val="auto"/>
              </w:rPr>
            </w:pPr>
          </w:p>
        </w:tc>
        <w:tc>
          <w:tcPr>
            <w:tcW w:w="5260" w:type="dxa"/>
            <w:vAlign w:val="bottom"/>
            <w:gridSpan w:val="32"/>
          </w:tcPr>
          <w:p>
            <w:pPr>
              <w:spacing w:after="0" w:line="203"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Third Amendment, dated December 19, 2019, to Amended and Restated</w:t>
              </w:r>
            </w:hyperlink>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0000FF"/>
              <w:bottom w:val="single" w:sz="8" w:color="0000FF"/>
            </w:tcBorders>
            <w:gridSpan w:val="25"/>
          </w:tcPr>
          <w:p>
            <w:pPr>
              <w:spacing w:after="0" w:line="164" w:lineRule="exact"/>
              <w:rPr>
                <w:rFonts w:ascii="Times New Roman" w:cs="Times New Roman" w:eastAsia="Times New Roman" w:hAnsi="Times New Roman"/>
                <w:sz w:val="18"/>
                <w:szCs w:val="18"/>
                <w:color w:val="0000FF"/>
                <w:w w:val="97"/>
              </w:rPr>
            </w:pPr>
            <w:hyperlink r:id="rId219">
              <w:r>
                <w:rPr>
                  <w:rFonts w:ascii="Times New Roman" w:cs="Times New Roman" w:eastAsia="Times New Roman" w:hAnsi="Times New Roman"/>
                  <w:sz w:val="18"/>
                  <w:szCs w:val="18"/>
                  <w:color w:val="0000FF"/>
                  <w:w w:val="97"/>
                </w:rPr>
                <w:t>Employment Agreement, dated February 2, 2016, as amended on May 6,</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bottom w:val="single" w:sz="8" w:color="0000FF"/>
            </w:tcBorders>
            <w:gridSpan w:val="27"/>
          </w:tcPr>
          <w:p>
            <w:pPr>
              <w:spacing w:after="0" w:line="151" w:lineRule="exact"/>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2016 and January 4, 2017, by and between BankUnited, Inc. and Rajinder</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0000FF"/>
            </w:tcBorders>
          </w:tcPr>
          <w:p>
            <w:pPr>
              <w:spacing w:after="0" w:line="151" w:lineRule="exact"/>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P. Singh</w:t>
              </w:r>
            </w:hyperlink>
          </w:p>
        </w:tc>
        <w:tc>
          <w:tcPr>
            <w:tcW w:w="4660" w:type="dxa"/>
            <w:vAlign w:val="bottom"/>
            <w:gridSpan w:val="3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820" w:type="dxa"/>
            <w:vAlign w:val="bottom"/>
            <w:gridSpan w:val="6"/>
          </w:tcPr>
          <w:p>
            <w:pPr>
              <w:spacing w:after="0" w:line="203"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11e</w:t>
              </w:r>
            </w:hyperlink>
          </w:p>
        </w:tc>
        <w:tc>
          <w:tcPr>
            <w:tcW w:w="20" w:type="dxa"/>
            <w:vAlign w:val="bottom"/>
          </w:tcPr>
          <w:p>
            <w:pPr>
              <w:spacing w:after="0"/>
              <w:rPr>
                <w:sz w:val="17"/>
                <w:szCs w:val="17"/>
                <w:color w:val="auto"/>
              </w:rPr>
            </w:pPr>
          </w:p>
        </w:tc>
        <w:tc>
          <w:tcPr>
            <w:tcW w:w="5260" w:type="dxa"/>
            <w:vAlign w:val="bottom"/>
            <w:gridSpan w:val="32"/>
          </w:tcPr>
          <w:p>
            <w:pPr>
              <w:spacing w:after="0" w:line="203"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Fourth Amendment, dated May 2, 2023, to Amended and Restated</w:t>
              </w:r>
            </w:hyperlink>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Employment Agreement, dated February 2, 2016, as amended on</w:t>
              </w:r>
            </w:hyperlink>
          </w:p>
        </w:tc>
        <w:tc>
          <w:tcPr>
            <w:tcW w:w="580" w:type="dxa"/>
            <w:vAlign w:val="bottom"/>
            <w:gridSpan w:val="17"/>
          </w:tcPr>
          <w:p>
            <w:pPr>
              <w:jc w:val="right"/>
              <w:ind w:right="140"/>
              <w:spacing w:after="0" w:line="164" w:lineRule="exact"/>
              <w:rPr>
                <w:rFonts w:ascii="Times New Roman" w:cs="Times New Roman" w:eastAsia="Times New Roman" w:hAnsi="Times New Roman"/>
                <w:sz w:val="18"/>
                <w:szCs w:val="18"/>
                <w:color w:val="0000FF"/>
                <w:w w:val="82"/>
              </w:rPr>
            </w:pPr>
            <w:hyperlink r:id="rId220">
              <w:r>
                <w:rPr>
                  <w:rFonts w:ascii="Times New Roman" w:cs="Times New Roman" w:eastAsia="Times New Roman" w:hAnsi="Times New Roman"/>
                  <w:sz w:val="18"/>
                  <w:szCs w:val="18"/>
                  <w:color w:val="0000FF"/>
                  <w:w w:val="82"/>
                </w:rPr>
                <w:t>May 6,</w:t>
              </w:r>
            </w:hyperlink>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26"/>
          </w:tcPr>
          <w:p>
            <w:pPr>
              <w:spacing w:after="0" w:line="151" w:lineRule="exact"/>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2016, January 4, 2017 and December 19, 2019, by and between</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13"/>
          </w:tcPr>
          <w:p>
            <w:pPr>
              <w:spacing w:after="0" w:line="151" w:lineRule="exact"/>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BankUnited, Inc. and Rajinder P. Singh</w:t>
              </w:r>
            </w:hyperlink>
          </w:p>
        </w:tc>
        <w:tc>
          <w:tcPr>
            <w:tcW w:w="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gridSpan w:val="5"/>
          </w:tcPr>
          <w:p>
            <w:pPr>
              <w:jc w:val="right"/>
              <w:spacing w:after="0" w:line="203"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gridSpan w:val="32"/>
          </w:tcPr>
          <w:p>
            <w:pPr>
              <w:spacing w:after="0" w:line="203"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Restricted Share Unit Agreement, dated December 29, 2016, by and</w:t>
              </w:r>
            </w:hyperlink>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7"/>
          </w:tcPr>
          <w:p>
            <w:pPr>
              <w:spacing w:after="0" w:line="164" w:lineRule="exact"/>
              <w:rPr>
                <w:rFonts w:ascii="Times New Roman" w:cs="Times New Roman" w:eastAsia="Times New Roman" w:hAnsi="Times New Roman"/>
                <w:sz w:val="18"/>
                <w:szCs w:val="18"/>
                <w:color w:val="0000FF"/>
                <w:w w:val="96"/>
              </w:rPr>
            </w:pPr>
            <w:hyperlink r:id="rId221">
              <w:r>
                <w:rPr>
                  <w:rFonts w:ascii="Times New Roman" w:cs="Times New Roman" w:eastAsia="Times New Roman" w:hAnsi="Times New Roman"/>
                  <w:sz w:val="18"/>
                  <w:szCs w:val="18"/>
                  <w:color w:val="0000FF"/>
                  <w:w w:val="96"/>
                </w:rPr>
                <w:t>between BankUnited, Inc. and Rajinder P. Singh</w:t>
              </w:r>
            </w:hyperlink>
          </w:p>
        </w:tc>
        <w:tc>
          <w:tcPr>
            <w:tcW w:w="1380" w:type="dxa"/>
            <w:vAlign w:val="bottom"/>
            <w:tcBorders>
              <w:top w:val="single" w:sz="8" w:color="0000FF"/>
            </w:tcBorders>
            <w:gridSpan w:val="11"/>
          </w:tcPr>
          <w:p>
            <w:pPr>
              <w:spacing w:after="0"/>
              <w:rPr>
                <w:sz w:val="14"/>
                <w:szCs w:val="14"/>
                <w:color w:val="auto"/>
              </w:rPr>
            </w:pPr>
          </w:p>
        </w:tc>
        <w:tc>
          <w:tcPr>
            <w:tcW w:w="24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60" w:type="dxa"/>
            <w:vAlign w:val="bottom"/>
            <w:gridSpan w:val="5"/>
          </w:tcPr>
          <w:p>
            <w:pPr>
              <w:jc w:val="right"/>
              <w:spacing w:after="0" w:line="203"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10.</w:t>
            </w:r>
            <w:hyperlink r:id="rId222">
              <w:r>
                <w:rPr>
                  <w:rFonts w:ascii="Times New Roman" w:cs="Times New Roman" w:eastAsia="Times New Roman" w:hAnsi="Times New Roman"/>
                  <w:sz w:val="18"/>
                  <w:szCs w:val="18"/>
                  <w:u w:val="single" w:color="auto"/>
                  <w:color w:val="0000FF"/>
                </w:rPr>
                <w:t>14</w:t>
              </w:r>
            </w:hyperlink>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gridSpan w:val="32"/>
          </w:tcPr>
          <w:p>
            <w:pPr>
              <w:spacing w:after="0" w:line="203"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BankUnited, Inc. Offer Letter for James G. Mackey</w:t>
              </w:r>
            </w:hyperlink>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gridSpan w:val="3"/>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460" w:type="dxa"/>
            <w:vAlign w:val="bottom"/>
            <w:gridSpan w:val="5"/>
          </w:tcPr>
          <w:p>
            <w:pPr>
              <w:jc w:val="right"/>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10.</w:t>
            </w:r>
            <w:hyperlink r:id="rId223">
              <w:r>
                <w:rPr>
                  <w:rFonts w:ascii="Times New Roman" w:cs="Times New Roman" w:eastAsia="Times New Roman" w:hAnsi="Times New Roman"/>
                  <w:sz w:val="18"/>
                  <w:szCs w:val="18"/>
                  <w:u w:val="single" w:color="auto"/>
                  <w:color w:val="0000FF"/>
                </w:rPr>
                <w:t>15</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32"/>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BankUnited, Inc. Retention Letter for James G. Mackey</w:t>
              </w:r>
            </w:hyperlink>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gridSpan w:val="3"/>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460" w:type="dxa"/>
            <w:vAlign w:val="bottom"/>
            <w:gridSpan w:val="5"/>
          </w:tcPr>
          <w:p>
            <w:pPr>
              <w:jc w:val="right"/>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16</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32"/>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BankUnited, Inc. Transition Letter for Leslie N. Lunak</w:t>
              </w:r>
            </w:hyperlink>
          </w:p>
        </w:tc>
        <w:tc>
          <w:tcPr>
            <w:tcW w:w="0" w:type="dxa"/>
            <w:vAlign w:val="bottom"/>
          </w:tcPr>
          <w:p>
            <w:pPr>
              <w:spacing w:after="0"/>
              <w:rPr>
                <w:sz w:val="1"/>
                <w:szCs w:val="1"/>
                <w:color w:val="auto"/>
              </w:rPr>
            </w:pPr>
          </w:p>
        </w:tc>
      </w:tr>
      <w:tr>
        <w:trPr>
          <w:trHeight w:val="387"/>
        </w:trPr>
        <w:tc>
          <w:tcPr>
            <w:tcW w:w="1120" w:type="dxa"/>
            <w:vAlign w:val="bottom"/>
            <w:gridSpan w:val="3"/>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bottom w:val="single" w:sz="8" w:color="0000FF"/>
            </w:tcBorders>
          </w:tcPr>
          <w:p>
            <w:pPr>
              <w:jc w:val="right"/>
              <w:spacing w:after="0"/>
              <w:rPr>
                <w:rFonts w:ascii="Times New Roman" w:cs="Times New Roman" w:eastAsia="Times New Roman" w:hAnsi="Times New Roman"/>
                <w:sz w:val="18"/>
                <w:szCs w:val="18"/>
                <w:color w:val="0000FF"/>
                <w:w w:val="88"/>
              </w:rPr>
            </w:pPr>
            <w:hyperlink r:id="rId225">
              <w:r>
                <w:rPr>
                  <w:rFonts w:ascii="Times New Roman" w:cs="Times New Roman" w:eastAsia="Times New Roman" w:hAnsi="Times New Roman"/>
                  <w:sz w:val="18"/>
                  <w:szCs w:val="18"/>
                  <w:color w:val="0000FF"/>
                  <w:w w:val="88"/>
                </w:rPr>
                <w:t>19.</w:t>
              </w:r>
              <w:r>
                <w:rPr>
                  <w:rFonts w:ascii="Times New Roman" w:cs="Times New Roman" w:eastAsia="Times New Roman" w:hAnsi="Times New Roman"/>
                  <w:sz w:val="18"/>
                  <w:szCs w:val="18"/>
                  <w:u w:val="single" w:color="auto"/>
                  <w:color w:val="0000FF"/>
                  <w:w w:val="88"/>
                </w:rPr>
                <w:t>1</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6"/>
              </w:rPr>
            </w:pPr>
            <w:hyperlink r:id="rId225">
              <w:r>
                <w:rPr>
                  <w:rFonts w:ascii="Times New Roman" w:cs="Times New Roman" w:eastAsia="Times New Roman" w:hAnsi="Times New Roman"/>
                  <w:sz w:val="18"/>
                  <w:szCs w:val="18"/>
                  <w:color w:val="0000FF"/>
                  <w:w w:val="96"/>
                </w:rPr>
                <w:t>BankUnited, Inc. Policy on Insider Trading</w:t>
              </w:r>
            </w:hyperlink>
          </w:p>
        </w:tc>
        <w:tc>
          <w:tcPr>
            <w:tcW w:w="820" w:type="dxa"/>
            <w:vAlign w:val="bottom"/>
            <w:tcBorders>
              <w:top w:val="single" w:sz="8" w:color="0000FF"/>
            </w:tcBorders>
            <w:gridSpan w:val="3"/>
          </w:tcPr>
          <w:p>
            <w:pPr>
              <w:spacing w:after="0"/>
              <w:rPr>
                <w:sz w:val="24"/>
                <w:szCs w:val="24"/>
                <w:color w:val="auto"/>
              </w:rPr>
            </w:pPr>
          </w:p>
        </w:tc>
        <w:tc>
          <w:tcPr>
            <w:tcW w:w="14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160" w:type="dxa"/>
            <w:vAlign w:val="bottom"/>
            <w:gridSpan w:val="4"/>
          </w:tcPr>
          <w:p>
            <w:pPr>
              <w:spacing w:after="0"/>
              <w:rPr>
                <w:sz w:val="24"/>
                <w:szCs w:val="24"/>
                <w:color w:val="auto"/>
              </w:rPr>
            </w:pPr>
          </w:p>
        </w:tc>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21.</w:t>
            </w:r>
            <w:r>
              <w:rPr>
                <w:rFonts w:ascii="Times New Roman" w:cs="Times New Roman" w:eastAsia="Times New Roman" w:hAnsi="Times New Roman"/>
                <w:sz w:val="18"/>
                <w:szCs w:val="18"/>
                <w:u w:val="single" w:color="auto"/>
                <w:color w:val="0000FF"/>
                <w:w w:val="88"/>
              </w:rPr>
              <w:t>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Subsidiaries of BankUnited, Inc.</w:t>
            </w:r>
          </w:p>
        </w:tc>
        <w:tc>
          <w:tcPr>
            <w:tcW w:w="296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gridSpan w:val="4"/>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0000FF"/>
                <w:w w:val="88"/>
              </w:rPr>
              <w:t>23.</w:t>
            </w:r>
            <w:r>
              <w:rPr>
                <w:rFonts w:ascii="Times New Roman" w:cs="Times New Roman" w:eastAsia="Times New Roman" w:hAnsi="Times New Roman"/>
                <w:sz w:val="18"/>
                <w:szCs w:val="18"/>
                <w:u w:val="single" w:color="auto"/>
                <w:color w:val="0000FF"/>
                <w:w w:val="88"/>
              </w:rPr>
              <w:t>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gridSpan w:val="32"/>
          </w:tcPr>
          <w:p>
            <w:pPr>
              <w:spacing w:after="0" w:line="203" w:lineRule="exact"/>
              <w:rPr>
                <w:sz w:val="20"/>
                <w:szCs w:val="20"/>
                <w:color w:val="auto"/>
              </w:rPr>
            </w:pPr>
            <w:r>
              <w:rPr>
                <w:rFonts w:ascii="Times New Roman" w:cs="Times New Roman" w:eastAsia="Times New Roman" w:hAnsi="Times New Roman"/>
                <w:sz w:val="18"/>
                <w:szCs w:val="18"/>
                <w:color w:val="0000FF"/>
              </w:rPr>
              <w:t>Consent of Deloitte and Touche LLP</w:t>
            </w:r>
          </w:p>
        </w:tc>
        <w:tc>
          <w:tcPr>
            <w:tcW w:w="0" w:type="dxa"/>
            <w:vAlign w:val="bottom"/>
          </w:tcPr>
          <w:p>
            <w:pPr>
              <w:spacing w:after="0"/>
              <w:rPr>
                <w:sz w:val="1"/>
                <w:szCs w:val="1"/>
                <w:color w:val="auto"/>
              </w:rPr>
            </w:pPr>
          </w:p>
        </w:tc>
      </w:tr>
      <w:tr>
        <w:trPr>
          <w:trHeight w:val="20"/>
        </w:trPr>
        <w:tc>
          <w:tcPr>
            <w:tcW w:w="1160" w:type="dxa"/>
            <w:vAlign w:val="bottom"/>
            <w:gridSpan w:val="4"/>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94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gridSpan w:val="4"/>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gridSpan w:val="32"/>
          </w:tcPr>
          <w:p>
            <w:pPr>
              <w:spacing w:after="0" w:line="203" w:lineRule="exact"/>
              <w:rPr>
                <w:sz w:val="20"/>
                <w:szCs w:val="20"/>
                <w:color w:val="auto"/>
              </w:rPr>
            </w:pPr>
            <w:r>
              <w:rPr>
                <w:rFonts w:ascii="Times New Roman" w:cs="Times New Roman" w:eastAsia="Times New Roman" w:hAnsi="Times New Roman"/>
                <w:sz w:val="18"/>
                <w:szCs w:val="18"/>
                <w:color w:val="0000FF"/>
              </w:rPr>
              <w:t>Rule 13a-14(a) Certification of Chief Executive Officer of the Company</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tcBorders>
              <w:top w:val="single" w:sz="8" w:color="0000FF"/>
              <w:bottom w:val="single" w:sz="8" w:color="0000FF"/>
            </w:tcBorders>
            <w:gridSpan w:val="16"/>
          </w:tcPr>
          <w:p>
            <w:pPr>
              <w:spacing w:after="0" w:line="164" w:lineRule="exact"/>
              <w:rPr>
                <w:sz w:val="20"/>
                <w:szCs w:val="20"/>
                <w:color w:val="auto"/>
              </w:rPr>
            </w:pPr>
            <w:r>
              <w:rPr>
                <w:rFonts w:ascii="Times New Roman" w:cs="Times New Roman" w:eastAsia="Times New Roman" w:hAnsi="Times New Roman"/>
                <w:sz w:val="18"/>
                <w:szCs w:val="18"/>
                <w:color w:val="0000FF"/>
                <w:w w:val="97"/>
              </w:rPr>
              <w:t>in accordance with Section 302 of the Sarbanes-Oxley Act of 2002</w:t>
            </w:r>
          </w:p>
        </w:tc>
        <w:tc>
          <w:tcPr>
            <w:tcW w:w="400" w:type="dxa"/>
            <w:vAlign w:val="bottom"/>
            <w:tcBorders>
              <w:top w:val="single" w:sz="8" w:color="0000FF"/>
            </w:tcBorders>
            <w:gridSpan w:val="8"/>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60" w:type="dxa"/>
            <w:vAlign w:val="bottom"/>
            <w:gridSpan w:val="5"/>
          </w:tcPr>
          <w:p>
            <w:pPr>
              <w:jc w:val="right"/>
              <w:spacing w:after="0" w:line="203"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gridSpan w:val="32"/>
          </w:tcPr>
          <w:p>
            <w:pPr>
              <w:spacing w:after="0" w:line="203" w:lineRule="exact"/>
              <w:rPr>
                <w:sz w:val="20"/>
                <w:szCs w:val="20"/>
                <w:color w:val="auto"/>
              </w:rPr>
            </w:pPr>
            <w:r>
              <w:rPr>
                <w:rFonts w:ascii="Times New Roman" w:cs="Times New Roman" w:eastAsia="Times New Roman" w:hAnsi="Times New Roman"/>
                <w:sz w:val="18"/>
                <w:szCs w:val="18"/>
                <w:color w:val="0000FF"/>
              </w:rPr>
              <w:t>Rule 13a-14(a) Certification of Chief Financial Officer of the Company</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tcBorders>
              <w:top w:val="single" w:sz="8" w:color="0000FF"/>
              <w:bottom w:val="single" w:sz="8" w:color="0000FF"/>
            </w:tcBorders>
            <w:gridSpan w:val="16"/>
          </w:tcPr>
          <w:p>
            <w:pPr>
              <w:spacing w:after="0" w:line="164" w:lineRule="exact"/>
              <w:rPr>
                <w:sz w:val="20"/>
                <w:szCs w:val="20"/>
                <w:color w:val="auto"/>
              </w:rPr>
            </w:pPr>
            <w:r>
              <w:rPr>
                <w:rFonts w:ascii="Times New Roman" w:cs="Times New Roman" w:eastAsia="Times New Roman" w:hAnsi="Times New Roman"/>
                <w:sz w:val="18"/>
                <w:szCs w:val="18"/>
                <w:color w:val="0000FF"/>
                <w:w w:val="97"/>
              </w:rPr>
              <w:t>in accordance with Section 302 of the Sarbanes-Oxley Act of 2002</w:t>
            </w:r>
          </w:p>
        </w:tc>
        <w:tc>
          <w:tcPr>
            <w:tcW w:w="320" w:type="dxa"/>
            <w:vAlign w:val="bottom"/>
            <w:tcBorders>
              <w:top w:val="single" w:sz="8" w:color="0000FF"/>
            </w:tcBorders>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60" w:type="dxa"/>
            <w:vAlign w:val="bottom"/>
            <w:gridSpan w:val="5"/>
          </w:tcPr>
          <w:p>
            <w:pPr>
              <w:jc w:val="right"/>
              <w:spacing w:after="0" w:line="203"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gridSpan w:val="32"/>
          </w:tcPr>
          <w:p>
            <w:pPr>
              <w:spacing w:after="0" w:line="203" w:lineRule="exact"/>
              <w:rPr>
                <w:sz w:val="20"/>
                <w:szCs w:val="20"/>
                <w:color w:val="auto"/>
              </w:rPr>
            </w:pPr>
            <w:r>
              <w:rPr>
                <w:rFonts w:ascii="Times New Roman" w:cs="Times New Roman" w:eastAsia="Times New Roman" w:hAnsi="Times New Roman"/>
                <w:sz w:val="18"/>
                <w:szCs w:val="18"/>
                <w:color w:val="0000FF"/>
                <w:w w:val="99"/>
              </w:rPr>
              <w:t>Section 1350 Certification of Chief Executive Officer of the Company in</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14"/>
          </w:tcPr>
          <w:p>
            <w:pPr>
              <w:spacing w:after="0" w:line="164" w:lineRule="exact"/>
              <w:rPr>
                <w:sz w:val="20"/>
                <w:szCs w:val="20"/>
                <w:color w:val="auto"/>
              </w:rPr>
            </w:pPr>
            <w:r>
              <w:rPr>
                <w:rFonts w:ascii="Times New Roman" w:cs="Times New Roman" w:eastAsia="Times New Roman" w:hAnsi="Times New Roman"/>
                <w:sz w:val="18"/>
                <w:szCs w:val="18"/>
                <w:color w:val="0000FF"/>
                <w:w w:val="97"/>
              </w:rPr>
              <w:t>accordance with Section 906 of the Sarbanes-Oxley Act of 2002</w:t>
            </w:r>
          </w:p>
        </w:tc>
        <w:tc>
          <w:tcPr>
            <w:tcW w:w="680" w:type="dxa"/>
            <w:vAlign w:val="bottom"/>
            <w:tcBorders>
              <w:top w:val="single" w:sz="8" w:color="0000FF"/>
            </w:tcBorders>
            <w:gridSpan w:val="1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60" w:type="dxa"/>
            <w:vAlign w:val="bottom"/>
            <w:gridSpan w:val="5"/>
          </w:tcPr>
          <w:p>
            <w:pPr>
              <w:jc w:val="right"/>
              <w:spacing w:after="0" w:line="203"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gridSpan w:val="32"/>
          </w:tcPr>
          <w:p>
            <w:pPr>
              <w:spacing w:after="0" w:line="203" w:lineRule="exact"/>
              <w:rPr>
                <w:sz w:val="20"/>
                <w:szCs w:val="20"/>
                <w:color w:val="auto"/>
              </w:rPr>
            </w:pPr>
            <w:r>
              <w:rPr>
                <w:rFonts w:ascii="Times New Roman" w:cs="Times New Roman" w:eastAsia="Times New Roman" w:hAnsi="Times New Roman"/>
                <w:sz w:val="18"/>
                <w:szCs w:val="18"/>
                <w:color w:val="0000FF"/>
              </w:rPr>
              <w:t>Section 1350 Certification of Chief Financial Officer of the Company in</w:t>
            </w: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14"/>
          </w:tcPr>
          <w:p>
            <w:pPr>
              <w:spacing w:after="0" w:line="164" w:lineRule="exact"/>
              <w:rPr>
                <w:sz w:val="20"/>
                <w:szCs w:val="20"/>
                <w:color w:val="auto"/>
              </w:rPr>
            </w:pPr>
            <w:r>
              <w:rPr>
                <w:rFonts w:ascii="Times New Roman" w:cs="Times New Roman" w:eastAsia="Times New Roman" w:hAnsi="Times New Roman"/>
                <w:sz w:val="18"/>
                <w:szCs w:val="18"/>
                <w:color w:val="0000FF"/>
                <w:w w:val="97"/>
              </w:rPr>
              <w:t>accordance with Section 906 of the Sarbanes-Oxley Act of 2002</w:t>
            </w:r>
          </w:p>
        </w:tc>
        <w:tc>
          <w:tcPr>
            <w:tcW w:w="560" w:type="dxa"/>
            <w:vAlign w:val="bottom"/>
            <w:tcBorders>
              <w:top w:val="single" w:sz="8" w:color="0000FF"/>
            </w:tcBorders>
            <w:gridSpan w:val="9"/>
          </w:tcPr>
          <w:p>
            <w:pPr>
              <w:spacing w:after="0"/>
              <w:rPr>
                <w:sz w:val="14"/>
                <w:szCs w:val="14"/>
                <w:color w:val="auto"/>
              </w:rPr>
            </w:pPr>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860"/>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gridSpan w:val="10"/>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146050</wp:posOffset>
            </wp:positionV>
            <wp:extent cx="716153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30480</wp:posOffset>
            </wp:positionV>
            <wp:extent cx="23901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35" w:lineRule="exact"/>
        <w:rPr>
          <w:sz w:val="20"/>
          <w:szCs w:val="20"/>
          <w:color w:val="auto"/>
        </w:rPr>
      </w:pPr>
    </w:p>
    <w:p>
      <w:pPr>
        <w:spacing w:after="0" w:line="238"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Exhibit 10.1 to the Current Report on Form 8-K of th</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Company filed February 16, 2011</w:t>
        </w:r>
      </w:hyperlink>
    </w:p>
    <w:p>
      <w:pPr>
        <w:spacing w:after="0" w:line="2" w:lineRule="exact"/>
        <w:rPr>
          <w:sz w:val="20"/>
          <w:szCs w:val="20"/>
          <w:color w:val="auto"/>
        </w:rPr>
      </w:pPr>
    </w:p>
    <w:p>
      <w:pPr>
        <w:ind w:right="280"/>
        <w:spacing w:after="0" w:line="236"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Exhibit 10.6 of the Company's Annual Report on</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Form 10-K filed February 26, 2015</w:t>
        </w:r>
      </w:hyperlink>
    </w:p>
    <w:p>
      <w:pPr>
        <w:ind w:right="20"/>
        <w:spacing w:after="0" w:line="236"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Exhibit 10.11 to the Annual Report on Form 10-K of</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the Company filed February 26, 2016</w:t>
        </w:r>
      </w:hyperlink>
    </w:p>
    <w:p>
      <w:pPr>
        <w:spacing w:after="0" w:line="236" w:lineRule="auto"/>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Exhibit 10.2 to the Current Report on Form 8-K of th</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Company filed May 6, 2016</w:t>
        </w:r>
      </w:hyperlink>
    </w:p>
    <w:p>
      <w:pPr>
        <w:spacing w:after="0" w:line="232" w:lineRule="exact"/>
        <w:rPr>
          <w:sz w:val="20"/>
          <w:szCs w:val="20"/>
          <w:color w:val="auto"/>
        </w:rPr>
      </w:pPr>
    </w:p>
    <w:p>
      <w:pPr>
        <w:spacing w:after="0" w:line="238"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Exhibit 10.2 to the Current Report on Form 8-K/A of</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the Company filed January 4, 2017</w:t>
        </w:r>
      </w:hyperlink>
    </w:p>
    <w:p>
      <w:pPr>
        <w:spacing w:after="0" w:line="168" w:lineRule="exact"/>
        <w:rPr>
          <w:sz w:val="20"/>
          <w:szCs w:val="20"/>
          <w:color w:val="auto"/>
        </w:rPr>
      </w:pPr>
    </w:p>
    <w:p>
      <w:pPr>
        <w:spacing w:after="0" w:line="238"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Exhibit 10.1 to the Current Report on Form 8-K of th</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Company filed December 19, 2019</w:t>
        </w:r>
      </w:hyperlink>
    </w:p>
    <w:p>
      <w:pPr>
        <w:spacing w:after="0" w:line="339" w:lineRule="exact"/>
        <w:rPr>
          <w:sz w:val="20"/>
          <w:szCs w:val="20"/>
          <w:color w:val="auto"/>
        </w:rPr>
      </w:pPr>
    </w:p>
    <w:p>
      <w:pPr>
        <w:spacing w:after="0" w:line="238"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Exhibit 10.1 to the Current Report on Form 8-K of th</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Company filed May 2, 2023</w:t>
        </w:r>
      </w:hyperlink>
    </w:p>
    <w:p>
      <w:pPr>
        <w:spacing w:after="0" w:line="339" w:lineRule="exact"/>
        <w:rPr>
          <w:sz w:val="20"/>
          <w:szCs w:val="20"/>
          <w:color w:val="auto"/>
        </w:rPr>
      </w:pPr>
    </w:p>
    <w:p>
      <w:pPr>
        <w:spacing w:after="0" w:line="238" w:lineRule="auto"/>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Exhibit 10.3 to the Current Report on Form 8-K of th</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Company filed January 3, 2017</w:t>
        </w:r>
      </w:hyperlink>
    </w:p>
    <w:p>
      <w:pPr>
        <w:spacing w:after="0" w:line="2" w:lineRule="exact"/>
        <w:rPr>
          <w:sz w:val="20"/>
          <w:szCs w:val="20"/>
          <w:color w:val="auto"/>
        </w:rPr>
      </w:pPr>
    </w:p>
    <w:p>
      <w:pPr>
        <w:spacing w:after="0" w:line="236"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Exhibit 10.1 to the Current Report on Form 8-K of th</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Company filed July 25, 2025</w:t>
        </w:r>
      </w:hyperlink>
    </w:p>
    <w:p>
      <w:pPr>
        <w:spacing w:after="0" w:line="23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Exhibit 10.2 to the Current Report on Form 8-K of th</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Company filed July 25, 2025</w:t>
        </w:r>
      </w:hyperlink>
    </w:p>
    <w:p>
      <w:pPr>
        <w:spacing w:after="0" w:line="236"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Exhibit 10.2 to the Current Report on Form 8-K of th</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Company filed November 19, 2025</w:t>
        </w:r>
      </w:hyperlink>
    </w:p>
    <w:p>
      <w:pPr>
        <w:ind w:right="20"/>
        <w:spacing w:after="0" w:line="236"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Exhibit 19.1 to the Annual Report on Form 10-K of t</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Company filed February 28, 2025</w:t>
        </w:r>
      </w:hyperlink>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ectPr>
          <w:pgSz w:w="11900" w:h="16838" w:orient="portrait"/>
          <w:cols w:equalWidth="0" w:num="2">
            <w:col w:w="7040" w:space="240"/>
            <w:col w:w="3720"/>
          </w:cols>
          <w:pgMar w:left="640" w:top="1163" w:right="25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134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680" w:type="dxa"/>
            <w:vAlign w:val="bottom"/>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34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680" w:type="dxa"/>
            <w:vAlign w:val="bottom"/>
            <w:gridSpan w:val="2"/>
          </w:tcPr>
          <w:p>
            <w:pPr>
              <w:jc w:val="right"/>
              <w:ind w:right="380"/>
              <w:spacing w:after="0" w:line="195" w:lineRule="exact"/>
              <w:rPr>
                <w:rFonts w:ascii="Times New Roman" w:cs="Times New Roman" w:eastAsia="Times New Roman" w:hAnsi="Times New Roman"/>
                <w:sz w:val="18"/>
                <w:szCs w:val="18"/>
                <w:color w:val="0000FF"/>
                <w:w w:val="88"/>
              </w:rPr>
            </w:pPr>
            <w:hyperlink r:id="rId228">
              <w:r>
                <w:rPr>
                  <w:rFonts w:ascii="Times New Roman" w:cs="Times New Roman" w:eastAsia="Times New Roman" w:hAnsi="Times New Roman"/>
                  <w:sz w:val="18"/>
                  <w:szCs w:val="18"/>
                  <w:color w:val="0000FF"/>
                  <w:w w:val="88"/>
                </w:rPr>
                <w:t>97.</w:t>
              </w:r>
              <w:r>
                <w:rPr>
                  <w:rFonts w:ascii="Times New Roman" w:cs="Times New Roman" w:eastAsia="Times New Roman" w:hAnsi="Times New Roman"/>
                  <w:sz w:val="18"/>
                  <w:szCs w:val="18"/>
                  <w:u w:val="single" w:color="auto"/>
                  <w:color w:val="0000FF"/>
                  <w:w w:val="88"/>
                </w:rPr>
                <w:t>1</w:t>
              </w:r>
            </w:hyperlink>
          </w:p>
        </w:tc>
        <w:tc>
          <w:tcPr>
            <w:tcW w:w="3680" w:type="dxa"/>
            <w:vAlign w:val="bottom"/>
          </w:tcPr>
          <w:p>
            <w:pPr>
              <w:spacing w:after="0" w:line="195" w:lineRule="exact"/>
              <w:rPr>
                <w:rFonts w:ascii="Times New Roman" w:cs="Times New Roman" w:eastAsia="Times New Roman" w:hAnsi="Times New Roman"/>
                <w:sz w:val="18"/>
                <w:szCs w:val="18"/>
                <w:color w:val="0000FF"/>
                <w:w w:val="96"/>
              </w:rPr>
            </w:pPr>
            <w:hyperlink r:id="rId228">
              <w:r>
                <w:rPr>
                  <w:rFonts w:ascii="Times New Roman" w:cs="Times New Roman" w:eastAsia="Times New Roman" w:hAnsi="Times New Roman"/>
                  <w:sz w:val="18"/>
                  <w:szCs w:val="18"/>
                  <w:color w:val="0000FF"/>
                  <w:w w:val="96"/>
                </w:rPr>
                <w:t>BankUnited, Inc. Policy on Compensation Recovery</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101.INS</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23"/>
        </w:trPr>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101.SCH</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23"/>
        </w:trPr>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101.CAL</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23"/>
        </w:trPr>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101.DEF</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23"/>
        </w:trPr>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101.LAB</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228"/>
        </w:trPr>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101.PRE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w w:val="98"/>
              </w:rPr>
              <w:t>XBRL Taxonomy Extension Presentation Linkbase</w:t>
            </w:r>
          </w:p>
        </w:tc>
        <w:tc>
          <w:tcPr>
            <w:tcW w:w="0" w:type="dxa"/>
            <w:vAlign w:val="bottom"/>
          </w:tcPr>
          <w:p>
            <w:pPr>
              <w:spacing w:after="0"/>
              <w:rPr>
                <w:sz w:val="1"/>
                <w:szCs w:val="1"/>
                <w:color w:val="auto"/>
              </w:rPr>
            </w:pPr>
          </w:p>
        </w:tc>
      </w:tr>
    </w:tbl>
    <w:p>
      <w:pPr>
        <w:ind w:left="1340" w:hanging="634"/>
        <w:spacing w:after="0" w:line="236" w:lineRule="auto"/>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159385</wp:posOffset>
            </wp:positionV>
            <wp:extent cx="716153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42" w:lineRule="exact"/>
        <w:rPr>
          <w:sz w:val="20"/>
          <w:szCs w:val="20"/>
          <w:color w:val="auto"/>
        </w:rPr>
      </w:pPr>
    </w:p>
    <w:p>
      <w:pPr>
        <w:spacing w:after="0" w:line="238"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Exhibit 97.1 to the Annual Report on Form 10-K of t</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Company filed February 28, 2025</w:t>
        </w:r>
      </w:hyperlink>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6180" w:space="600"/>
            <w:col w:w="3700"/>
          </w:cols>
          <w:pgMar w:left="1140" w:top="1163" w:right="279" w:bottom="1440" w:gutter="0" w:footer="0" w:header="0"/>
        </w:sectPr>
      </w:pPr>
    </w:p>
    <w:bookmarkStart w:id="138" w:name="page139"/>
    <w:bookmarkEnd w:id="13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0" w:lineRule="exact"/>
        <w:rPr>
          <w:sz w:val="20"/>
          <w:szCs w:val="20"/>
          <w:color w:val="auto"/>
        </w:rPr>
      </w:pPr>
    </w:p>
    <w:p>
      <w:pPr>
        <w:ind w:right="30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the report to be signed on its behalf by the undersigned, thereunto duly authorized.</w:t>
      </w:r>
    </w:p>
    <w:p>
      <w:pPr>
        <w:spacing w:after="0" w:line="140" w:lineRule="exact"/>
        <w:rPr>
          <w:sz w:val="20"/>
          <w:szCs w:val="20"/>
          <w:color w:val="auto"/>
        </w:rPr>
      </w:pPr>
    </w:p>
    <w:tbl>
      <w:tblPr>
        <w:tblLayout w:type="fixed"/>
        <w:tblInd w:w="2020" w:type="dxa"/>
        <w:tblCellMar>
          <w:top w:w="0" w:type="dxa"/>
          <w:left w:w="0" w:type="dxa"/>
          <w:bottom w:w="0" w:type="dxa"/>
          <w:right w:w="0" w:type="dxa"/>
        </w:tblCellMar>
      </w:tblPr>
      <w:tr>
        <w:trPr>
          <w:trHeight w:val="225"/>
        </w:trPr>
        <w:tc>
          <w:tcPr>
            <w:tcW w:w="2720" w:type="dxa"/>
            <w:vAlign w:val="bottom"/>
          </w:tcPr>
          <w:p>
            <w:pPr>
              <w:spacing w:after="0"/>
              <w:rPr>
                <w:sz w:val="19"/>
                <w:szCs w:val="19"/>
                <w:color w:val="auto"/>
              </w:rPr>
            </w:pPr>
          </w:p>
        </w:tc>
        <w:tc>
          <w:tcPr>
            <w:tcW w:w="26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w w:val="96"/>
              </w:rPr>
              <w:t>BANKUNITED, INC.</w:t>
            </w:r>
          </w:p>
        </w:tc>
        <w:tc>
          <w:tcPr>
            <w:tcW w:w="3940" w:type="dxa"/>
            <w:vAlign w:val="bottom"/>
          </w:tcPr>
          <w:p>
            <w:pPr>
              <w:spacing w:after="0"/>
              <w:rPr>
                <w:sz w:val="19"/>
                <w:szCs w:val="19"/>
                <w:color w:val="auto"/>
              </w:rPr>
            </w:pPr>
          </w:p>
        </w:tc>
      </w:tr>
      <w:tr>
        <w:trPr>
          <w:trHeight w:val="228"/>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1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RAJINDER P. SINGH</w:t>
            </w:r>
          </w:p>
        </w:tc>
      </w:tr>
      <w:tr>
        <w:trPr>
          <w:trHeight w:val="210"/>
        </w:trPr>
        <w:tc>
          <w:tcPr>
            <w:tcW w:w="2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Rajinder P. Singh</w:t>
            </w:r>
          </w:p>
        </w:tc>
      </w:tr>
      <w:tr>
        <w:trPr>
          <w:trHeight w:val="230"/>
        </w:trPr>
        <w:tc>
          <w:tcPr>
            <w:tcW w:w="2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r>
    </w:tbl>
    <w:p>
      <w:pPr>
        <w:spacing w:after="0" w:line="206" w:lineRule="exact"/>
        <w:rPr>
          <w:sz w:val="20"/>
          <w:szCs w:val="20"/>
          <w:color w:val="auto"/>
        </w:rPr>
      </w:pPr>
    </w:p>
    <w:p>
      <w:pPr>
        <w:ind w:right="42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and on the dates indicated.</w:t>
      </w:r>
    </w:p>
    <w:p>
      <w:pPr>
        <w:spacing w:after="0" w:line="1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340" w:type="dxa"/>
            <w:vAlign w:val="bottom"/>
          </w:tcPr>
          <w:p>
            <w:pPr>
              <w:spacing w:after="0"/>
              <w:rPr>
                <w:sz w:val="13"/>
                <w:szCs w:val="1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60" w:type="dxa"/>
            <w:vAlign w:val="bottom"/>
            <w:gridSpan w:val="3"/>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/s/ RAJINDER P. SINGH</w:t>
            </w:r>
          </w:p>
        </w:tc>
        <w:tc>
          <w:tcPr>
            <w:tcW w:w="4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000" w:type="dxa"/>
            <w:vAlign w:val="bottom"/>
            <w:gridSpan w:val="3"/>
            <w:vMerge w:val="continue"/>
          </w:tcPr>
          <w:p>
            <w:pPr>
              <w:spacing w:after="0"/>
              <w:rPr>
                <w:sz w:val="12"/>
                <w:szCs w:val="12"/>
                <w:color w:val="auto"/>
              </w:rPr>
            </w:pPr>
          </w:p>
        </w:tc>
        <w:tc>
          <w:tcPr>
            <w:tcW w:w="46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60" w:type="dxa"/>
            <w:vAlign w:val="bottom"/>
            <w:gridSpan w:val="3"/>
            <w:vMerge w:val="restart"/>
          </w:tcPr>
          <w:p>
            <w:pPr>
              <w:jc w:val="center"/>
              <w:ind w:left="674"/>
              <w:spacing w:after="0"/>
              <w:rPr>
                <w:sz w:val="20"/>
                <w:szCs w:val="20"/>
                <w:color w:val="auto"/>
              </w:rPr>
            </w:pPr>
            <w:r>
              <w:rPr>
                <w:rFonts w:ascii="Times New Roman" w:cs="Times New Roman" w:eastAsia="Times New Roman" w:hAnsi="Times New Roman"/>
                <w:sz w:val="18"/>
                <w:szCs w:val="18"/>
                <w:color w:val="auto"/>
                <w:w w:val="98"/>
              </w:rPr>
              <w:t>February 26, 2026</w:t>
            </w:r>
          </w:p>
        </w:tc>
        <w:tc>
          <w:tcPr>
            <w:tcW w:w="0" w:type="dxa"/>
            <w:vAlign w:val="bottom"/>
          </w:tcPr>
          <w:p>
            <w:pPr>
              <w:spacing w:after="0"/>
              <w:rPr>
                <w:sz w:val="1"/>
                <w:szCs w:val="1"/>
                <w:color w:val="auto"/>
              </w:rPr>
            </w:pPr>
          </w:p>
        </w:tc>
      </w:tr>
      <w:tr>
        <w:trPr>
          <w:trHeight w:val="105"/>
        </w:trPr>
        <w:tc>
          <w:tcPr>
            <w:tcW w:w="17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4680" w:type="dxa"/>
            <w:vAlign w:val="bottom"/>
            <w:gridSpan w:val="3"/>
            <w:vMerge w:val="continue"/>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Rajinder P. Singh</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 JAMES G. MACKEY</w:t>
            </w:r>
          </w:p>
        </w:tc>
        <w:tc>
          <w:tcPr>
            <w:tcW w:w="4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060" w:type="dxa"/>
            <w:vAlign w:val="bottom"/>
            <w:gridSpan w:val="3"/>
            <w:vMerge w:val="restart"/>
          </w:tcPr>
          <w:p>
            <w:pPr>
              <w:jc w:val="center"/>
              <w:ind w:left="674"/>
              <w:spacing w:after="0"/>
              <w:rPr>
                <w:sz w:val="20"/>
                <w:szCs w:val="20"/>
                <w:color w:val="auto"/>
              </w:rPr>
            </w:pPr>
            <w:r>
              <w:rPr>
                <w:rFonts w:ascii="Times New Roman" w:cs="Times New Roman" w:eastAsia="Times New Roman" w:hAnsi="Times New Roman"/>
                <w:sz w:val="18"/>
                <w:szCs w:val="18"/>
                <w:color w:val="auto"/>
                <w:w w:val="98"/>
              </w:rPr>
              <w:t>February 26, 2026</w:t>
            </w:r>
          </w:p>
        </w:tc>
        <w:tc>
          <w:tcPr>
            <w:tcW w:w="0" w:type="dxa"/>
            <w:vAlign w:val="bottom"/>
          </w:tcPr>
          <w:p>
            <w:pPr>
              <w:spacing w:after="0"/>
              <w:rPr>
                <w:sz w:val="1"/>
                <w:szCs w:val="1"/>
                <w:color w:val="auto"/>
              </w:rPr>
            </w:pPr>
          </w:p>
        </w:tc>
      </w:tr>
      <w:tr>
        <w:trPr>
          <w:trHeight w:val="118"/>
        </w:trPr>
        <w:tc>
          <w:tcPr>
            <w:tcW w:w="4000" w:type="dxa"/>
            <w:vAlign w:val="bottom"/>
            <w:gridSpan w:val="3"/>
            <w:vMerge w:val="continue"/>
          </w:tcPr>
          <w:p>
            <w:pPr>
              <w:spacing w:after="0"/>
              <w:rPr>
                <w:sz w:val="10"/>
                <w:szCs w:val="10"/>
                <w:color w:val="auto"/>
              </w:rPr>
            </w:pPr>
          </w:p>
        </w:tc>
        <w:tc>
          <w:tcPr>
            <w:tcW w:w="4680" w:type="dxa"/>
            <w:vAlign w:val="bottom"/>
            <w:gridSpan w:val="3"/>
            <w:vMerge w:val="restart"/>
          </w:tcPr>
          <w:p>
            <w:pPr>
              <w:ind w:left="480"/>
              <w:spacing w:after="0" w:line="197" w:lineRule="exact"/>
              <w:rPr>
                <w:sz w:val="20"/>
                <w:szCs w:val="20"/>
                <w:color w:val="auto"/>
              </w:rPr>
            </w:pPr>
            <w:r>
              <w:rPr>
                <w:rFonts w:ascii="Times New Roman" w:cs="Times New Roman" w:eastAsia="Times New Roman" w:hAnsi="Times New Roman"/>
                <w:sz w:val="18"/>
                <w:szCs w:val="18"/>
                <w:color w:val="auto"/>
              </w:rPr>
              <w:t>Accounting Officer)</w:t>
            </w:r>
          </w:p>
        </w:tc>
        <w:tc>
          <w:tcPr>
            <w:tcW w:w="2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7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4680" w:type="dxa"/>
            <w:vAlign w:val="bottom"/>
            <w:gridSpan w:val="3"/>
            <w:vMerge w:val="continue"/>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James G. Mackey</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TERE BLANCA</w:t>
            </w:r>
          </w:p>
        </w:tc>
        <w:tc>
          <w:tcPr>
            <w:tcW w:w="4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74"/>
              <w:spacing w:after="0"/>
              <w:rPr>
                <w:sz w:val="20"/>
                <w:szCs w:val="20"/>
                <w:color w:val="auto"/>
              </w:rPr>
            </w:pPr>
            <w:r>
              <w:rPr>
                <w:rFonts w:ascii="Times New Roman" w:cs="Times New Roman" w:eastAsia="Times New Roman" w:hAnsi="Times New Roman"/>
                <w:sz w:val="18"/>
                <w:szCs w:val="18"/>
                <w:color w:val="auto"/>
                <w:w w:val="98"/>
              </w:rPr>
              <w:t>February 26, 2026</w:t>
            </w:r>
          </w:p>
        </w:tc>
        <w:tc>
          <w:tcPr>
            <w:tcW w:w="0" w:type="dxa"/>
            <w:vAlign w:val="bottom"/>
          </w:tcPr>
          <w:p>
            <w:pPr>
              <w:spacing w:after="0"/>
              <w:rPr>
                <w:sz w:val="1"/>
                <w:szCs w:val="1"/>
                <w:color w:val="auto"/>
              </w:rPr>
            </w:pPr>
          </w:p>
        </w:tc>
      </w:tr>
      <w:tr>
        <w:trPr>
          <w:trHeight w:val="212"/>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Tere Blanca</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JOHN N. DIGIACOMO</w:t>
            </w:r>
          </w:p>
        </w:tc>
        <w:tc>
          <w:tcPr>
            <w:tcW w:w="4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74"/>
              <w:spacing w:after="0"/>
              <w:rPr>
                <w:sz w:val="20"/>
                <w:szCs w:val="20"/>
                <w:color w:val="auto"/>
              </w:rPr>
            </w:pPr>
            <w:r>
              <w:rPr>
                <w:rFonts w:ascii="Times New Roman" w:cs="Times New Roman" w:eastAsia="Times New Roman" w:hAnsi="Times New Roman"/>
                <w:sz w:val="18"/>
                <w:szCs w:val="18"/>
                <w:color w:val="auto"/>
                <w:w w:val="98"/>
              </w:rPr>
              <w:t>February 26, 2026</w:t>
            </w:r>
          </w:p>
        </w:tc>
        <w:tc>
          <w:tcPr>
            <w:tcW w:w="0" w:type="dxa"/>
            <w:vAlign w:val="bottom"/>
          </w:tcPr>
          <w:p>
            <w:pPr>
              <w:spacing w:after="0"/>
              <w:rPr>
                <w:sz w:val="1"/>
                <w:szCs w:val="1"/>
                <w:color w:val="auto"/>
              </w:rPr>
            </w:pPr>
          </w:p>
        </w:tc>
      </w:tr>
      <w:tr>
        <w:trPr>
          <w:trHeight w:val="212"/>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John N. DiGiacomo</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MICHAEL J. DOWLING</w:t>
            </w:r>
          </w:p>
        </w:tc>
        <w:tc>
          <w:tcPr>
            <w:tcW w:w="4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74"/>
              <w:spacing w:after="0"/>
              <w:rPr>
                <w:sz w:val="20"/>
                <w:szCs w:val="20"/>
                <w:color w:val="auto"/>
              </w:rPr>
            </w:pPr>
            <w:r>
              <w:rPr>
                <w:rFonts w:ascii="Times New Roman" w:cs="Times New Roman" w:eastAsia="Times New Roman" w:hAnsi="Times New Roman"/>
                <w:sz w:val="18"/>
                <w:szCs w:val="18"/>
                <w:color w:val="auto"/>
                <w:w w:val="98"/>
              </w:rPr>
              <w:t>February 26, 2026</w:t>
            </w:r>
          </w:p>
        </w:tc>
        <w:tc>
          <w:tcPr>
            <w:tcW w:w="0" w:type="dxa"/>
            <w:vAlign w:val="bottom"/>
          </w:tcPr>
          <w:p>
            <w:pPr>
              <w:spacing w:after="0"/>
              <w:rPr>
                <w:sz w:val="1"/>
                <w:szCs w:val="1"/>
                <w:color w:val="auto"/>
              </w:rPr>
            </w:pPr>
          </w:p>
        </w:tc>
      </w:tr>
      <w:tr>
        <w:trPr>
          <w:trHeight w:val="212"/>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Michael J. Dowling</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DOUGLAS J. PAULS</w:t>
            </w:r>
          </w:p>
        </w:tc>
        <w:tc>
          <w:tcPr>
            <w:tcW w:w="4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74"/>
              <w:spacing w:after="0"/>
              <w:rPr>
                <w:sz w:val="20"/>
                <w:szCs w:val="20"/>
                <w:color w:val="auto"/>
              </w:rPr>
            </w:pPr>
            <w:r>
              <w:rPr>
                <w:rFonts w:ascii="Times New Roman" w:cs="Times New Roman" w:eastAsia="Times New Roman" w:hAnsi="Times New Roman"/>
                <w:sz w:val="18"/>
                <w:szCs w:val="18"/>
                <w:color w:val="auto"/>
                <w:w w:val="98"/>
              </w:rPr>
              <w:t>February 26, 2026</w:t>
            </w:r>
          </w:p>
        </w:tc>
        <w:tc>
          <w:tcPr>
            <w:tcW w:w="0" w:type="dxa"/>
            <w:vAlign w:val="bottom"/>
          </w:tcPr>
          <w:p>
            <w:pPr>
              <w:spacing w:after="0"/>
              <w:rPr>
                <w:sz w:val="1"/>
                <w:szCs w:val="1"/>
                <w:color w:val="auto"/>
              </w:rPr>
            </w:pPr>
          </w:p>
        </w:tc>
      </w:tr>
      <w:tr>
        <w:trPr>
          <w:trHeight w:val="212"/>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Douglas J. Pauls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WILLIAM S. RUBENSTEIN</w:t>
            </w:r>
          </w:p>
        </w:tc>
        <w:tc>
          <w:tcPr>
            <w:tcW w:w="4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74"/>
              <w:spacing w:after="0"/>
              <w:rPr>
                <w:sz w:val="20"/>
                <w:szCs w:val="20"/>
                <w:color w:val="auto"/>
              </w:rPr>
            </w:pPr>
            <w:r>
              <w:rPr>
                <w:rFonts w:ascii="Times New Roman" w:cs="Times New Roman" w:eastAsia="Times New Roman" w:hAnsi="Times New Roman"/>
                <w:sz w:val="18"/>
                <w:szCs w:val="18"/>
                <w:color w:val="auto"/>
                <w:w w:val="98"/>
              </w:rPr>
              <w:t>February 26, 2026</w:t>
            </w:r>
          </w:p>
        </w:tc>
        <w:tc>
          <w:tcPr>
            <w:tcW w:w="0" w:type="dxa"/>
            <w:vAlign w:val="bottom"/>
          </w:tcPr>
          <w:p>
            <w:pPr>
              <w:spacing w:after="0"/>
              <w:rPr>
                <w:sz w:val="1"/>
                <w:szCs w:val="1"/>
                <w:color w:val="auto"/>
              </w:rPr>
            </w:pPr>
          </w:p>
        </w:tc>
      </w:tr>
      <w:tr>
        <w:trPr>
          <w:trHeight w:val="212"/>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William S. Rubenstein</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SANJIV SOBTI</w:t>
            </w:r>
          </w:p>
        </w:tc>
        <w:tc>
          <w:tcPr>
            <w:tcW w:w="4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74"/>
              <w:spacing w:after="0"/>
              <w:rPr>
                <w:sz w:val="20"/>
                <w:szCs w:val="20"/>
                <w:color w:val="auto"/>
              </w:rPr>
            </w:pPr>
            <w:r>
              <w:rPr>
                <w:rFonts w:ascii="Times New Roman" w:cs="Times New Roman" w:eastAsia="Times New Roman" w:hAnsi="Times New Roman"/>
                <w:sz w:val="18"/>
                <w:szCs w:val="18"/>
                <w:color w:val="auto"/>
                <w:w w:val="98"/>
              </w:rPr>
              <w:t>February 26, 2026</w:t>
            </w:r>
          </w:p>
        </w:tc>
        <w:tc>
          <w:tcPr>
            <w:tcW w:w="0" w:type="dxa"/>
            <w:vAlign w:val="bottom"/>
          </w:tcPr>
          <w:p>
            <w:pPr>
              <w:spacing w:after="0"/>
              <w:rPr>
                <w:sz w:val="1"/>
                <w:szCs w:val="1"/>
                <w:color w:val="auto"/>
              </w:rPr>
            </w:pPr>
          </w:p>
        </w:tc>
      </w:tr>
      <w:tr>
        <w:trPr>
          <w:trHeight w:val="212"/>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Sanjiv Sobti</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GERMAINE SMITH-BAUGH</w:t>
            </w:r>
          </w:p>
        </w:tc>
        <w:tc>
          <w:tcPr>
            <w:tcW w:w="4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74"/>
              <w:spacing w:after="0"/>
              <w:rPr>
                <w:sz w:val="20"/>
                <w:szCs w:val="20"/>
                <w:color w:val="auto"/>
              </w:rPr>
            </w:pPr>
            <w:r>
              <w:rPr>
                <w:rFonts w:ascii="Times New Roman" w:cs="Times New Roman" w:eastAsia="Times New Roman" w:hAnsi="Times New Roman"/>
                <w:sz w:val="18"/>
                <w:szCs w:val="18"/>
                <w:color w:val="auto"/>
                <w:w w:val="98"/>
              </w:rPr>
              <w:t>February 26, 2026</w:t>
            </w:r>
          </w:p>
        </w:tc>
        <w:tc>
          <w:tcPr>
            <w:tcW w:w="0" w:type="dxa"/>
            <w:vAlign w:val="bottom"/>
          </w:tcPr>
          <w:p>
            <w:pPr>
              <w:spacing w:after="0"/>
              <w:rPr>
                <w:sz w:val="1"/>
                <w:szCs w:val="1"/>
                <w:color w:val="auto"/>
              </w:rPr>
            </w:pPr>
          </w:p>
        </w:tc>
      </w:tr>
      <w:tr>
        <w:trPr>
          <w:trHeight w:val="212"/>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Germaine Smith-Baugh</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/s/ LYNNE WINES</w:t>
            </w:r>
          </w:p>
        </w:tc>
        <w:tc>
          <w:tcPr>
            <w:tcW w:w="4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74"/>
              <w:spacing w:after="0"/>
              <w:rPr>
                <w:sz w:val="20"/>
                <w:szCs w:val="20"/>
                <w:color w:val="auto"/>
              </w:rPr>
            </w:pPr>
            <w:r>
              <w:rPr>
                <w:rFonts w:ascii="Times New Roman" w:cs="Times New Roman" w:eastAsia="Times New Roman" w:hAnsi="Times New Roman"/>
                <w:sz w:val="18"/>
                <w:szCs w:val="18"/>
                <w:color w:val="auto"/>
                <w:w w:val="98"/>
              </w:rPr>
              <w:t>February 26, 2026</w:t>
            </w:r>
          </w:p>
        </w:tc>
        <w:tc>
          <w:tcPr>
            <w:tcW w:w="0" w:type="dxa"/>
            <w:vAlign w:val="bottom"/>
          </w:tcPr>
          <w:p>
            <w:pPr>
              <w:spacing w:after="0"/>
              <w:rPr>
                <w:sz w:val="1"/>
                <w:szCs w:val="1"/>
                <w:color w:val="auto"/>
              </w:rPr>
            </w:pPr>
          </w:p>
        </w:tc>
      </w:tr>
      <w:tr>
        <w:trPr>
          <w:trHeight w:val="222"/>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Lynne Wines</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1"/>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144" w:right="2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0" w:lineRule="exact"/>
        <w:rPr>
          <w:sz w:val="20"/>
          <w:szCs w:val="20"/>
          <w:color w:val="auto"/>
        </w:rPr>
      </w:pPr>
    </w:p>
    <w:p>
      <w:pPr>
        <w:spacing w:after="0" w:line="292" w:lineRule="exact"/>
        <w:rPr>
          <w:sz w:val="20"/>
          <w:szCs w:val="20"/>
          <w:color w:val="auto"/>
        </w:rPr>
      </w:pPr>
    </w:p>
    <w:p>
      <w:pPr>
        <w:ind w:right="540" w:firstLine="315"/>
        <w:spacing w:after="0" w:line="268" w:lineRule="auto"/>
        <w:rPr>
          <w:sz w:val="20"/>
          <w:szCs w:val="20"/>
          <w:color w:val="auto"/>
        </w:rPr>
      </w:pPr>
      <w:r>
        <w:rPr>
          <w:rFonts w:ascii="Times New Roman" w:cs="Times New Roman" w:eastAsia="Times New Roman" w:hAnsi="Times New Roman"/>
          <w:sz w:val="18"/>
          <w:szCs w:val="18"/>
          <w:color w:val="auto"/>
        </w:rPr>
        <w:t>The following is a list of the subsidiaries of BankUnited, Inc. as of December 31, 2025, including the name of each subsidiary and its jurisdiction of incorporation:</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1</w:t>
            </w: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BankUnited, N.A.</w:t>
            </w:r>
          </w:p>
        </w:tc>
        <w:tc>
          <w:tcPr>
            <w:tcW w:w="28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USA</w:t>
            </w:r>
          </w:p>
        </w:tc>
      </w:tr>
      <w:tr>
        <w:trPr>
          <w:trHeight w:val="223"/>
        </w:trPr>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2</w:t>
            </w: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Bridge Funding Group, Inc.</w:t>
            </w:r>
          </w:p>
        </w:tc>
        <w:tc>
          <w:tcPr>
            <w:tcW w:w="288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3"/>
        </w:trPr>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3</w:t>
            </w: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 Delaware, Inc.</w:t>
            </w:r>
          </w:p>
        </w:tc>
        <w:tc>
          <w:tcPr>
            <w:tcW w:w="288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3"/>
        </w:trPr>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4</w:t>
            </w: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 Properties, Inc.</w:t>
            </w:r>
          </w:p>
        </w:tc>
        <w:tc>
          <w:tcPr>
            <w:tcW w:w="28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Florida</w:t>
            </w:r>
          </w:p>
        </w:tc>
      </w:tr>
      <w:tr>
        <w:trPr>
          <w:trHeight w:val="228"/>
        </w:trPr>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5</w:t>
            </w: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Pinnacle Public Finance, Inc.</w:t>
            </w:r>
          </w:p>
        </w:tc>
        <w:tc>
          <w:tcPr>
            <w:tcW w:w="288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5"/>
              </w:rPr>
              <w:t>Delaware</w:t>
            </w:r>
          </w:p>
        </w:tc>
      </w:tr>
    </w:tbl>
    <w:p>
      <w:pPr>
        <w:sectPr>
          <w:pgSz w:w="11900" w:h="16838" w:orient="portrait"/>
          <w:cols w:equalWidth="0" w:num="1">
            <w:col w:w="11240"/>
          </w:cols>
          <w:pgMar w:left="320" w:top="1013"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9"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333-282790 on Form S-3 and the Registration Statements 333-172035, 333-179800, 333-188925, 333-190586, 333-192222, 333-197808, 333-261122, 333-261122 and 333-271981 on Form S-8 of our reports dated February 26, 2026 relating to the consolidated balance sheets of BankUnited, Inc. as of December 31, 2025 and 2024, and the related consolidated statements of income, comprehensive income, cash flows, and stockholders’ equity for each of the years in the three year period ended December 31, 2025, and the effectiveness of BankUnited, Inc.'s internal control over financial reporting, appearing in the Annual Report on Form 10-K of BankUnited, Inc. for the year ended December 31, 2025. We also consent to the reference to us under the heading "Experts" in such Registration Statements.</w:t>
      </w: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/s/Deloitte and Touche LLP</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11240"/>
          </w:cols>
          <w:pgMar w:left="320" w:top="908"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Rajinder P. Singh, certify that:</w:t>
      </w:r>
    </w:p>
    <w:p>
      <w:pPr>
        <w:spacing w:after="0" w:line="214" w:lineRule="exact"/>
        <w:rPr>
          <w:sz w:val="20"/>
          <w:szCs w:val="20"/>
          <w:color w:val="auto"/>
        </w:rPr>
      </w:pPr>
    </w:p>
    <w:p>
      <w:pPr>
        <w:ind w:left="320" w:hanging="315"/>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BankUnited, Inc.;</w:t>
      </w:r>
    </w:p>
    <w:p>
      <w:pPr>
        <w:spacing w:after="0" w:line="213" w:lineRule="exact"/>
        <w:rPr>
          <w:rFonts w:ascii="Times New Roman" w:cs="Times New Roman" w:eastAsia="Times New Roman" w:hAnsi="Times New Roman"/>
          <w:sz w:val="18"/>
          <w:szCs w:val="18"/>
          <w:color w:val="auto"/>
        </w:rPr>
      </w:pPr>
    </w:p>
    <w:p>
      <w:pPr>
        <w:ind w:left="320" w:right="240" w:hanging="315"/>
        <w:spacing w:after="0" w:line="331" w:lineRule="auto"/>
        <w:tabs>
          <w:tab w:leader="none" w:pos="311"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320" w:right="160" w:hanging="315"/>
        <w:spacing w:after="0" w:line="268" w:lineRule="auto"/>
        <w:tabs>
          <w:tab w:leader="none" w:pos="2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left="320" w:hanging="315"/>
        <w:spacing w:after="0" w:line="256" w:lineRule="auto"/>
        <w:tabs>
          <w:tab w:leader="none" w:pos="2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640" w:right="200" w:hanging="319"/>
        <w:spacing w:after="0" w:line="256" w:lineRule="auto"/>
        <w:tabs>
          <w:tab w:leader="none" w:pos="6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ind w:left="640" w:right="120" w:hanging="319"/>
        <w:spacing w:after="0" w:line="256" w:lineRule="auto"/>
        <w:tabs>
          <w:tab w:leader="none" w:pos="5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8"/>
          <w:szCs w:val="18"/>
          <w:color w:val="auto"/>
        </w:rPr>
      </w:pPr>
    </w:p>
    <w:p>
      <w:pPr>
        <w:ind w:left="640" w:right="40" w:hanging="319"/>
        <w:spacing w:after="0" w:line="268" w:lineRule="auto"/>
        <w:tabs>
          <w:tab w:leader="none" w:pos="6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320" w:right="720" w:hanging="315"/>
        <w:spacing w:after="0" w:line="268" w:lineRule="auto"/>
        <w:tabs>
          <w:tab w:leader="none" w:pos="2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640" w:right="80" w:hanging="319"/>
        <w:spacing w:after="0" w:line="268" w:lineRule="auto"/>
        <w:tabs>
          <w:tab w:leader="none" w:pos="51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5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Rajinder 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5553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Rajinder P. Singh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Date: February 26, 2026</w:t>
      </w:r>
    </w:p>
    <w:p>
      <w:pPr>
        <w:sectPr>
          <w:pgSz w:w="11900" w:h="16838" w:orient="portrait"/>
          <w:cols w:equalWidth="0" w:num="1">
            <w:col w:w="11240"/>
          </w:cols>
          <w:pgMar w:left="320" w:top="868"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G. Mackey, certify that:</w:t>
      </w:r>
    </w:p>
    <w:p>
      <w:pPr>
        <w:spacing w:after="0" w:line="214" w:lineRule="exact"/>
        <w:rPr>
          <w:sz w:val="20"/>
          <w:szCs w:val="20"/>
          <w:color w:val="auto"/>
        </w:rPr>
      </w:pPr>
    </w:p>
    <w:p>
      <w:pPr>
        <w:ind w:left="320" w:hanging="315"/>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BankUnited, Inc.;</w:t>
      </w:r>
    </w:p>
    <w:p>
      <w:pPr>
        <w:spacing w:after="0" w:line="213" w:lineRule="exact"/>
        <w:rPr>
          <w:rFonts w:ascii="Times New Roman" w:cs="Times New Roman" w:eastAsia="Times New Roman" w:hAnsi="Times New Roman"/>
          <w:sz w:val="18"/>
          <w:szCs w:val="18"/>
          <w:color w:val="auto"/>
        </w:rPr>
      </w:pPr>
    </w:p>
    <w:p>
      <w:pPr>
        <w:ind w:left="320" w:right="240" w:hanging="315"/>
        <w:spacing w:after="0" w:line="331" w:lineRule="auto"/>
        <w:tabs>
          <w:tab w:leader="none" w:pos="31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320" w:right="160" w:hanging="315"/>
        <w:spacing w:after="0" w:line="268" w:lineRule="auto"/>
        <w:tabs>
          <w:tab w:leader="none" w:pos="20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left="320" w:hanging="315"/>
        <w:spacing w:after="0" w:line="256" w:lineRule="auto"/>
        <w:tabs>
          <w:tab w:leader="none" w:pos="20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ind w:left="640" w:right="200" w:hanging="319"/>
        <w:spacing w:after="0" w:line="256" w:lineRule="auto"/>
        <w:tabs>
          <w:tab w:leader="none" w:pos="6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ind w:left="640" w:right="120" w:hanging="319"/>
        <w:spacing w:after="0" w:line="256" w:lineRule="auto"/>
        <w:tabs>
          <w:tab w:leader="none" w:pos="5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8"/>
          <w:szCs w:val="18"/>
          <w:color w:val="auto"/>
        </w:rPr>
      </w:pPr>
    </w:p>
    <w:p>
      <w:pPr>
        <w:ind w:left="640" w:right="40" w:hanging="319"/>
        <w:spacing w:after="0" w:line="268" w:lineRule="auto"/>
        <w:tabs>
          <w:tab w:leader="none" w:pos="6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4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320" w:right="720" w:hanging="315"/>
        <w:spacing w:after="0" w:line="268" w:lineRule="auto"/>
        <w:tabs>
          <w:tab w:leader="none" w:pos="2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640" w:right="80" w:hanging="319"/>
        <w:spacing w:after="0" w:line="268" w:lineRule="auto"/>
        <w:tabs>
          <w:tab w:leader="none" w:pos="51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5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G. Mackey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5553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James G. Mackey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Date: February 26, 2026</w:t>
      </w:r>
    </w:p>
    <w:p>
      <w:pPr>
        <w:sectPr>
          <w:pgSz w:w="11900" w:h="16838" w:orient="portrait"/>
          <w:cols w:equalWidth="0" w:num="1">
            <w:col w:w="11240"/>
          </w:cols>
          <w:pgMar w:left="320" w:top="868"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96" w:lineRule="exact"/>
        <w:rPr>
          <w:sz w:val="20"/>
          <w:szCs w:val="20"/>
          <w:color w:val="auto"/>
        </w:rPr>
      </w:pPr>
    </w:p>
    <w:p>
      <w:pPr>
        <w:ind w:right="120" w:firstLine="315"/>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of BankUnited, Inc. (the “Company”) on Form 10-K for the year ended December 31, 2025, as filed with the Securities and Exchange Commission on the date hereof (the “Report”), I, Rajinder P. Singh, as Chief Executive Officer of the Company, certify, to the best of my knowledge, pursuant to 18 U.S.C. §1350, as adopted pursuant to Section 906 of the Sarbanes-Oxley Act of 2002, that:</w:t>
      </w:r>
    </w:p>
    <w:p>
      <w:pPr>
        <w:spacing w:after="0" w:line="179" w:lineRule="exact"/>
        <w:rPr>
          <w:sz w:val="20"/>
          <w:szCs w:val="20"/>
          <w:color w:val="auto"/>
        </w:rPr>
      </w:pPr>
    </w:p>
    <w:p>
      <w:pPr>
        <w:ind w:left="640" w:hanging="319"/>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1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Rajinder 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5553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Rajinder P. Singh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February 26, 2026</w:t>
      </w:r>
    </w:p>
    <w:p>
      <w:pPr>
        <w:sectPr>
          <w:pgSz w:w="11900" w:h="16838" w:orient="portrait"/>
          <w:cols w:equalWidth="0" w:num="1">
            <w:col w:w="11240"/>
          </w:cols>
          <w:pgMar w:left="320" w:top="868"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96" w:lineRule="exact"/>
        <w:rPr>
          <w:sz w:val="20"/>
          <w:szCs w:val="20"/>
          <w:color w:val="auto"/>
        </w:rPr>
      </w:pPr>
    </w:p>
    <w:p>
      <w:pPr>
        <w:ind w:right="160" w:firstLine="315"/>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of BankUnited, Inc. (the “Company”) on Form 10-K for the year ended December 31, 2025, as filed with the Securities and Exchange Commission on the date hereof (the “Report”), I, James G. Mackey, as Chief Financial Officer of the Company, certify, to the best of my knowledge, pursuant to 18 U.S.C. §1350, as adopted pursuant to Section 906 of the Sarbanes-Oxley Act of 2002, that:</w:t>
      </w:r>
    </w:p>
    <w:p>
      <w:pPr>
        <w:spacing w:after="0" w:line="179" w:lineRule="exact"/>
        <w:rPr>
          <w:sz w:val="20"/>
          <w:szCs w:val="20"/>
          <w:color w:val="auto"/>
        </w:rPr>
      </w:pPr>
    </w:p>
    <w:p>
      <w:pPr>
        <w:ind w:left="640" w:hanging="319"/>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1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G. Mackey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5553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James G. Mackey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Date: February 26, 2026</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
      <w:numFmt w:val="bullet"/>
      <w:start w:val="1"/>
    </w:lvl>
  </w:abstractNum>
  <w:abstractNum w:abstractNumId="3">
    <w:nsid w:val="8138641"/>
    <w:multiLevelType w:val="hybridMultilevel"/>
    <w:lvl w:ilvl="0">
      <w:lvlJc w:val="left"/>
      <w:lvlText w:val="•"/>
      <w:numFmt w:val="bullet"/>
      <w:start w:val="1"/>
    </w:lvl>
    <w:lvl w:ilvl="1">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lowerRoman"/>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
      <w:numFmt w:val="bullet"/>
      <w:start w:val="1"/>
    </w:lvl>
    <w:lvl w:ilvl="1">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lowerRoman"/>
      <w:start w:val="3"/>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2"/>
    </w:lvl>
  </w:abstractNum>
  <w:abstractNum w:abstractNumId="51">
    <w:nsid w:val="374A3FE6"/>
    <w:multiLevelType w:val="hybridMultilevel"/>
    <w:lvl w:ilvl="0">
      <w:lvlJc w:val="left"/>
      <w:lvlText w:val="%1"/>
      <w:numFmt w:val="decimal"/>
      <w:start w:val="104"/>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196" Type="http://schemas.openxmlformats.org/officeDocument/2006/relationships/hyperlink" Target="https://www.sec.gov/Archives/edgar/data/1504008/000104746911003008/a2202992zex-3_1.htm" TargetMode="External"/><Relationship Id="rId197" Type="http://schemas.openxmlformats.org/officeDocument/2006/relationships/hyperlink" Target="https://www.sec.gov/Archives/edgar/data/1504008/000150400816000073/ex-31amendedandrestatedbyx.htm" TargetMode="External"/><Relationship Id="rId198" Type="http://schemas.openxmlformats.org/officeDocument/2006/relationships/hyperlink" Target="https://www.sec.gov/Archives/edgar/data/1504008/000104746911000177/a2201582zex-4_1.htm" TargetMode="External"/><Relationship Id="rId199" Type="http://schemas.openxmlformats.org/officeDocument/2006/relationships/hyperlink" Target="https://www.sec.gov/Archives/edgar/data/1504008/000150400815000047/a8-kexx41baseindenture.htm" TargetMode="External"/><Relationship Id="rId200" Type="http://schemas.openxmlformats.org/officeDocument/2006/relationships/hyperlink" Target="https://www.sec.gov/Archives/edgar/data/1504008/000110465920072412/tm2021430d5_ex4-1.htm" TargetMode="External"/><Relationship Id="rId201" Type="http://schemas.openxmlformats.org/officeDocument/2006/relationships/hyperlink" Target="https://www.sec.gov/Archives/edgar/data/1504008/000110465920072412/tm2021430d5_ex4-2.htm" TargetMode="External"/><Relationship Id="rId202" Type="http://schemas.openxmlformats.org/officeDocument/2006/relationships/hyperlink" Target="https://www.sec.gov/Archives/edgar/data/1504008/000150400824000006/a20231231ex48.htm" TargetMode="External"/><Relationship Id="rId203" Type="http://schemas.openxmlformats.org/officeDocument/2006/relationships/hyperlink" Target="https://www.sec.gov/Archives/edgar/data/1504008/000150400815000008/a20141231ex101b.htm" TargetMode="External"/><Relationship Id="rId204" Type="http://schemas.openxmlformats.org/officeDocument/2006/relationships/hyperlink" Target="https://www.sec.gov/Archives/edgar/data/1504008/000150400816000053/a20151231ex101a.htm" TargetMode="External"/><Relationship Id="rId205" Type="http://schemas.openxmlformats.org/officeDocument/2006/relationships/hyperlink" Target="https://www.sec.gov/Archives/edgar/data/1504008/000104746910008968/a2200614zex-10_7.htm" TargetMode="External"/><Relationship Id="rId206" Type="http://schemas.openxmlformats.org/officeDocument/2006/relationships/hyperlink" Target="https://www.sec.gov/Archives/edgar/data/1504008/000104746911000177/a2201582zex-10_8.htm" TargetMode="External"/><Relationship Id="rId207" Type="http://schemas.openxmlformats.org/officeDocument/2006/relationships/hyperlink" Target="https://www.sec.gov/Archives/edgar/data/1504008/000104746914003729/a2219581zdef14a.htm#la13901_appendix_a_bankunited%2C_inc._20__app02178" TargetMode="External"/><Relationship Id="rId208" Type="http://schemas.openxmlformats.org/officeDocument/2006/relationships/hyperlink" Target="https://www.sec.gov/Archives/edgar/data/0001504008/000150400820000014/bku2020proxy-def14a.htm#s36cc1baf4d474d71a9efc7958723785e" TargetMode="External"/><Relationship Id="rId209" Type="http://schemas.openxmlformats.org/officeDocument/2006/relationships/hyperlink" Target="https://www.sec.gov/Archives/edgar/data/1504008/000150400823000021/exhibit101-bankunitedinc20.htm" TargetMode="External"/><Relationship Id="rId210" Type="http://schemas.openxmlformats.org/officeDocument/2006/relationships/hyperlink" Target="https://www.sec.gov/Archives/edgar/data/1504008/000104746911003008/a2202992zex-10_9.htm" TargetMode="External"/><Relationship Id="rId211" Type="http://schemas.openxmlformats.org/officeDocument/2006/relationships/hyperlink" Target="https://www.sec.gov/Archives/edgar/data/1504008/000110465912015953/a12-6511_1ex10d3.htm" TargetMode="External"/><Relationship Id="rId214" Type="http://schemas.openxmlformats.org/officeDocument/2006/relationships/hyperlink" Target="https://www.sec.gov/Archives/edgar/data/1504008/000110465911007823/a11-6188_1ex10d1.htm" TargetMode="External"/><Relationship Id="rId215" Type="http://schemas.openxmlformats.org/officeDocument/2006/relationships/hyperlink" Target="https://www.sec.gov/Archives/edgar/data/1504008/000150400815000008/a20141231ex106.htm" TargetMode="External"/><Relationship Id="rId216" Type="http://schemas.openxmlformats.org/officeDocument/2006/relationships/hyperlink" Target="https://www.sec.gov/Archives/edgar/data/1504008/000150400816000053/a20151231ex1011.htm" TargetMode="External"/><Relationship Id="rId217" Type="http://schemas.openxmlformats.org/officeDocument/2006/relationships/hyperlink" Target="https://www.sec.gov/Archives/edgar/data/1504008/000134100416001388/ex10_2.htm" TargetMode="External"/><Relationship Id="rId218" Type="http://schemas.openxmlformats.org/officeDocument/2006/relationships/hyperlink" Target="https://www.sec.gov/Archives/edgar/data/1504008/000089882217000007/exhibit102.htm" TargetMode="External"/><Relationship Id="rId219" Type="http://schemas.openxmlformats.org/officeDocument/2006/relationships/hyperlink" Target="https://www.sec.gov/Archives/edgar/data/1504008/000089882219000100/exhibit101.htm" TargetMode="External"/><Relationship Id="rId220" Type="http://schemas.openxmlformats.org/officeDocument/2006/relationships/hyperlink" Target="https://www.sec.gov/Archives/edgar/data/1504008/000150400823000016/exhibit101.htm" TargetMode="External"/><Relationship Id="rId221" Type="http://schemas.openxmlformats.org/officeDocument/2006/relationships/hyperlink" Target="https://www.sec.gov/Archives/edgar/data/1504008/000089882217000005/exhibit103.htm" TargetMode="External"/><Relationship Id="rId222" Type="http://schemas.openxmlformats.org/officeDocument/2006/relationships/hyperlink" Target="https://www.sec.gov/Archives/edgar/data/1504008/000150400825000019/exhibit101-offerletter.htm" TargetMode="External"/><Relationship Id="rId223" Type="http://schemas.openxmlformats.org/officeDocument/2006/relationships/hyperlink" Target="https://www.sec.gov/Archives/edgar/data/1504008/000150400825000019/exhibit102-retentionletter.htm" TargetMode="External"/><Relationship Id="rId224" Type="http://schemas.openxmlformats.org/officeDocument/2006/relationships/hyperlink" Target="https://www.sec.gov/Archives/edgar/data/1504008/000150400825000056/exhibit102.htm" TargetMode="External"/><Relationship Id="rId225" Type="http://schemas.openxmlformats.org/officeDocument/2006/relationships/hyperlink" Target="https://www.sec.gov/Archives/edgar/data/1504008/000150400825000005/exhibit191-bankunitedincpo.htm" TargetMode="External"/><Relationship Id="rId228" Type="http://schemas.openxmlformats.org/officeDocument/2006/relationships/hyperlink" Target="https://www.sec.gov/Archives/edgar/data/1504008/000150400825000005/exhibit971-bankunitedincp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2026-02-26T16:43:08Z</dcterms:created>
  <dcterms:modified xsi:type="dcterms:W3CDTF">2026-02-26T16:43:08Z</dcterms:modified>
</cp:coreProperties>
</file>