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Morgan Stanley &amp; Co. Incorporated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1585 Broadway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New York, NY 10036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Merrill Lynch, Pierce, Fenner &amp; Smith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Incorporated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One Bryant Park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New York, NY 10036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jc w:val="center"/>
        <w:ind w:right="-1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January 25, 2011</w:t>
      </w:r>
    </w:p>
    <w:p>
      <w:pPr>
        <w:sectPr>
          <w:pgSz w:w="11900" w:h="16838" w:orient="portrait"/>
          <w:cols w:equalWidth="0" w:num="1">
            <w:col w:w="11460"/>
          </w:cols>
          <w:pgMar w:left="240" w:top="449" w:right="199" w:bottom="113" w:gutter="0" w:footer="0" w:header="0"/>
        </w:sect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Re: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BankUnited, Inc.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Registration Statement on Form S-1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Registration File No. 333-170203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60" w:space="400"/>
            <w:col w:w="10800"/>
          </w:cols>
          <w:pgMar w:left="240" w:top="449" w:right="199" w:bottom="113" w:gutter="0" w:footer="0" w:header="0"/>
          <w:type w:val="continuous"/>
        </w:sectPr>
      </w:pP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Securities and Exchange Commission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Division of Corporation Finance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100 F Street, N.E.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Washington, D.C. 20549-4561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Attn: Mr. Michael Seaman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Dear Mr. Seaman:</w:t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right="360" w:firstLine="648"/>
        <w:spacing w:after="0" w:line="26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Rule 460 of the General Rules and Regulations under the Securities Act of 1933 (the “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Act</w:t>
      </w:r>
      <w:r>
        <w:rPr>
          <w:rFonts w:ascii="Arial" w:cs="Arial" w:eastAsia="Arial" w:hAnsi="Arial"/>
          <w:sz w:val="18"/>
          <w:szCs w:val="18"/>
          <w:color w:val="auto"/>
        </w:rPr>
        <w:t>”), we, as representatives of the several Underwriters, wish to advise you that the Preliminary Prospectus dated January 18, 2011 was distributed during the period from January 18, 2011 through 12:00 p.m., Eastern Standard Time, January 24, 2011, as follows:</w:t>
      </w:r>
    </w:p>
    <w:p>
      <w:pPr>
        <w:spacing w:after="0" w:line="176" w:lineRule="exact"/>
        <w:rPr>
          <w:sz w:val="24"/>
          <w:szCs w:val="24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Preliminary Prospectus</w:t>
      </w: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ind w:left="4440"/>
        <w:spacing w:after="0"/>
        <w:tabs>
          <w:tab w:leader="none" w:pos="53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9,390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auto"/>
        </w:rPr>
        <w:t>Underwriters and Dealers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2183130</wp:posOffset>
            </wp:positionH>
            <wp:positionV relativeFrom="paragraph">
              <wp:posOffset>-121920</wp:posOffset>
            </wp:positionV>
            <wp:extent cx="2898775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8775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660"/>
        <w:spacing w:after="0"/>
        <w:tabs>
          <w:tab w:leader="none" w:pos="53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43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auto"/>
        </w:rPr>
        <w:t>Institutions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380" w:hanging="710"/>
        <w:spacing w:after="0"/>
        <w:tabs>
          <w:tab w:leader="none" w:pos="538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Rating Agencies</w:t>
      </w:r>
    </w:p>
    <w:p>
      <w:pPr>
        <w:spacing w:after="0" w:line="9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5380" w:hanging="710"/>
        <w:spacing w:after="0"/>
        <w:tabs>
          <w:tab w:leader="none" w:pos="5380" w:val="left"/>
        </w:tabs>
        <w:numPr>
          <w:ilvl w:val="0"/>
          <w:numId w:val="2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Others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2183130</wp:posOffset>
            </wp:positionH>
            <wp:positionV relativeFrom="paragraph">
              <wp:posOffset>-267970</wp:posOffset>
            </wp:positionV>
            <wp:extent cx="2898775" cy="1371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8775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3820"/>
        <w:spacing w:after="0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Total: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auto"/>
        </w:rPr>
        <w:t>9,480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2183130</wp:posOffset>
            </wp:positionH>
            <wp:positionV relativeFrom="paragraph">
              <wp:posOffset>-130810</wp:posOffset>
            </wp:positionV>
            <wp:extent cx="2898775" cy="1371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8775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1" w:lineRule="exact"/>
        <w:rPr>
          <w:sz w:val="24"/>
          <w:szCs w:val="24"/>
          <w:color w:val="auto"/>
        </w:rPr>
      </w:pPr>
    </w:p>
    <w:p>
      <w:pPr>
        <w:ind w:right="140" w:firstLine="648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We have been informed by the participating underwriters that they will comply with the requirements of Rule 15c2-8 under the Securities Exchange Act of 1934.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184150</wp:posOffset>
            </wp:positionV>
            <wp:extent cx="7267575" cy="298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7575" cy="29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right="200" w:firstLine="648"/>
        <w:spacing w:after="0" w:line="34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In accordance with Rule 461 of the Act, we hereby join in the request of BankUnited, Inc. for acceleration of the effective date of the above-named Registration Statement so that it becomes effective at 4:00 p.m. Eastern Standard Time on January 27, 2011 or as soon thereafter as practicable.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81280</wp:posOffset>
            </wp:positionV>
            <wp:extent cx="7267575" cy="298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7575" cy="29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ind w:left="57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Very truly yours,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57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MORGAN STANLEY &amp; CO. INCORPORATED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57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MERRILL LYNCH, PIERCE, FENNER &amp; SMITH INCORPORATED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ind w:left="57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Acting severally on behalf of themselves and the several Underwriters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280" w:type="dxa"/>
            <w:vAlign w:val="bottom"/>
          </w:tcPr>
          <w:p>
            <w:pPr>
              <w:ind w:left="5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By:</w:t>
            </w:r>
          </w:p>
        </w:tc>
        <w:tc>
          <w:tcPr>
            <w:tcW w:w="5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Morgan Stanley &amp; Co. Incorporated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648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/s/ Taylor Wright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9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140" w:type="dxa"/>
            <w:vAlign w:val="bottom"/>
          </w:tcPr>
          <w:p>
            <w:pPr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Name: Taylor Wright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230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Title: Managing Director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634"/>
        </w:trPr>
        <w:tc>
          <w:tcPr>
            <w:tcW w:w="6280" w:type="dxa"/>
            <w:vAlign w:val="bottom"/>
          </w:tcPr>
          <w:p>
            <w:pPr>
              <w:ind w:left="5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By:</w:t>
            </w:r>
          </w:p>
        </w:tc>
        <w:tc>
          <w:tcPr>
            <w:tcW w:w="5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Merrill Lynch, Pierce, Fenner &amp; Smith Incorporated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30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/s/ Michele A. H. Allong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19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140" w:type="dxa"/>
            <w:vAlign w:val="bottom"/>
          </w:tcPr>
          <w:p>
            <w:pPr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Michele A.H. Allong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230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Authorized Signatory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341"/>
        </w:trPr>
        <w:tc>
          <w:tcPr>
            <w:tcW w:w="6280" w:type="dxa"/>
            <w:vAlign w:val="bottom"/>
            <w:tcBorders>
              <w:bottom w:val="single" w:sz="8" w:color="01010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140" w:type="dxa"/>
            <w:vAlign w:val="bottom"/>
            <w:tcBorders>
              <w:bottom w:val="single" w:sz="8" w:color="01010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1010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7258050</wp:posOffset>
            </wp:positionH>
            <wp:positionV relativeFrom="paragraph">
              <wp:posOffset>-29210</wp:posOffset>
            </wp:positionV>
            <wp:extent cx="12700" cy="2984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29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-29210</wp:posOffset>
            </wp:positionV>
            <wp:extent cx="12700" cy="2984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29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0" w:num="1">
        <w:col w:w="11460"/>
      </w:cols>
      <w:pgMar w:left="240" w:top="449" w:right="199" w:bottom="113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"/>
      <w:numFmt w:val="decimal"/>
      <w:start w:val="21"/>
    </w:lvl>
  </w:abstractNum>
  <w:abstractNum w:abstractNumId="1">
    <w:nsid w:val="66334873"/>
    <w:multiLevelType w:val="hybridMultilevel"/>
    <w:lvl w:ilvl="0">
      <w:lvlJc w:val="left"/>
      <w:lvlText w:val="%1"/>
      <w:numFmt w:val="decimal"/>
      <w:start w:val="26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2019-12-11T07:40:34Z</dcterms:created>
  <dcterms:modified xsi:type="dcterms:W3CDTF">2019-12-11T07:40:34Z</dcterms:modified>
</cp:coreProperties>
</file>