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16, 2019 (May 15,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BankUnited,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57" w:right="239" w:bottom="1440" w:gutter="0" w:footer="0" w:header="0"/>
        </w:sectPr>
      </w:pPr>
    </w:p>
    <w:p>
      <w:pPr>
        <w:spacing w:after="0" w:line="354"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001-35039</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27-0162450</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80" w:space="720"/>
            <w:col w:w="2980" w:space="720"/>
            <w:col w:w="3020"/>
          </w:cols>
          <w:pgMar w:left="240" w:top="557" w:right="239" w:bottom="1440" w:gutter="0" w:footer="0" w:header="0"/>
          <w:type w:val="continuous"/>
        </w:sectPr>
      </w:pP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14817 Oak Lane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Miami Lakes, FL 33016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 (Zip Code)</w:t>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(305) 569-2000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57" w:right="239" w:bottom="1440" w:gutter="0" w:footer="0" w:header="0"/>
          <w:type w:val="continuous"/>
        </w:sectPr>
      </w:pPr>
    </w:p>
    <w:p>
      <w:pPr>
        <w:spacing w:after="0" w:line="26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580" w:type="dxa"/>
            <w:vAlign w:val="bottom"/>
          </w:tcPr>
          <w:p>
            <w:pPr>
              <w:spacing w:after="0"/>
              <w:rPr>
                <w:sz w:val="20"/>
                <w:szCs w:val="20"/>
                <w:color w:val="auto"/>
              </w:rPr>
            </w:pPr>
          </w:p>
        </w:tc>
        <w:tc>
          <w:tcPr>
            <w:tcW w:w="4200" w:type="dxa"/>
            <w:vAlign w:val="bottom"/>
            <w:vMerge w:val="restart"/>
          </w:tcPr>
          <w:p>
            <w:pPr>
              <w:jc w:val="center"/>
              <w:ind w:right="390"/>
              <w:spacing w:after="0"/>
              <w:rPr>
                <w:sz w:val="20"/>
                <w:szCs w:val="20"/>
                <w:color w:val="auto"/>
              </w:rPr>
            </w:pPr>
            <w:r>
              <w:rPr>
                <w:rFonts w:ascii="Arial" w:cs="Arial" w:eastAsia="Arial" w:hAnsi="Arial"/>
                <w:sz w:val="18"/>
                <w:szCs w:val="18"/>
                <w:b w:val="1"/>
                <w:bCs w:val="1"/>
                <w:color w:val="auto"/>
                <w:w w:val="87"/>
              </w:rPr>
              <w:t>Name of each exchange</w:t>
            </w:r>
          </w:p>
        </w:tc>
        <w:tc>
          <w:tcPr>
            <w:tcW w:w="0" w:type="dxa"/>
            <w:vAlign w:val="bottom"/>
          </w:tcPr>
          <w:p>
            <w:pPr>
              <w:spacing w:after="0"/>
              <w:rPr>
                <w:sz w:val="1"/>
                <w:szCs w:val="1"/>
                <w:color w:val="auto"/>
              </w:rPr>
            </w:pPr>
          </w:p>
        </w:tc>
      </w:tr>
      <w:tr>
        <w:trPr>
          <w:trHeight w:val="198"/>
        </w:trPr>
        <w:tc>
          <w:tcPr>
            <w:tcW w:w="46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58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9"/>
              </w:rPr>
              <w:t>Trading symbol</w:t>
            </w:r>
          </w:p>
        </w:tc>
        <w:tc>
          <w:tcPr>
            <w:tcW w:w="420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88"/>
              </w:rPr>
              <w:t>on which registered</w:t>
            </w:r>
          </w:p>
        </w:tc>
        <w:tc>
          <w:tcPr>
            <w:tcW w:w="0" w:type="dxa"/>
            <w:vAlign w:val="bottom"/>
          </w:tcPr>
          <w:p>
            <w:pPr>
              <w:spacing w:after="0"/>
              <w:rPr>
                <w:sz w:val="1"/>
                <w:szCs w:val="1"/>
                <w:color w:val="auto"/>
              </w:rPr>
            </w:pPr>
          </w:p>
        </w:tc>
      </w:tr>
      <w:tr>
        <w:trPr>
          <w:trHeight w:val="230"/>
        </w:trPr>
        <w:tc>
          <w:tcPr>
            <w:tcW w:w="464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580" w:type="dxa"/>
            <w:vAlign w:val="bottom"/>
          </w:tcPr>
          <w:p>
            <w:pPr>
              <w:jc w:val="center"/>
              <w:ind w:right="310"/>
              <w:spacing w:after="0"/>
              <w:rPr>
                <w:sz w:val="20"/>
                <w:szCs w:val="20"/>
                <w:color w:val="auto"/>
              </w:rPr>
            </w:pPr>
            <w:r>
              <w:rPr>
                <w:rFonts w:ascii="Arial" w:cs="Arial" w:eastAsia="Arial" w:hAnsi="Arial"/>
                <w:sz w:val="18"/>
                <w:szCs w:val="18"/>
                <w:color w:val="auto"/>
              </w:rPr>
              <w:t>BKU</w:t>
            </w:r>
          </w:p>
        </w:tc>
        <w:tc>
          <w:tcPr>
            <w:tcW w:w="4200" w:type="dxa"/>
            <w:vAlign w:val="bottom"/>
          </w:tcPr>
          <w:p>
            <w:pPr>
              <w:jc w:val="center"/>
              <w:ind w:right="370"/>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363"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or Rule 12b-2 of the Securities Exchange Act of 1934 (§240.12b-2).</w:t>
      </w:r>
    </w:p>
    <w:p>
      <w:pPr>
        <w:spacing w:after="0" w:line="43" w:lineRule="exact"/>
        <w:rPr>
          <w:sz w:val="24"/>
          <w:szCs w:val="24"/>
          <w:color w:val="auto"/>
        </w:rPr>
      </w:pPr>
    </w:p>
    <w:p>
      <w:pPr>
        <w:ind w:left="1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4"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5.07. Submission of Matters to a Vote of Security Holders.</w:t>
      </w:r>
    </w:p>
    <w:p>
      <w:pPr>
        <w:spacing w:after="0" w:line="3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15, 2019, BankUnited, Inc. (the “Company”) held its annual meeting of stockholders (the “Annual Meeting”) and the following proposals were voted on:</w:t>
      </w:r>
    </w:p>
    <w:p>
      <w:pPr>
        <w:spacing w:after="0" w:line="197" w:lineRule="exact"/>
        <w:rPr>
          <w:sz w:val="20"/>
          <w:szCs w:val="20"/>
          <w:color w:val="auto"/>
        </w:rPr>
      </w:pPr>
    </w:p>
    <w:p>
      <w:pPr>
        <w:ind w:left="660" w:right="260"/>
        <w:spacing w:after="0" w:line="274" w:lineRule="auto"/>
        <w:rPr>
          <w:sz w:val="20"/>
          <w:szCs w:val="20"/>
          <w:color w:val="auto"/>
        </w:rPr>
      </w:pPr>
      <w:r>
        <w:rPr>
          <w:rFonts w:ascii="Arial" w:cs="Arial" w:eastAsia="Arial" w:hAnsi="Arial"/>
          <w:sz w:val="17"/>
          <w:szCs w:val="17"/>
          <w:b w:val="1"/>
          <w:bCs w:val="1"/>
          <w:i w:val="1"/>
          <w:iCs w:val="1"/>
          <w:color w:val="auto"/>
        </w:rPr>
        <w:t xml:space="preserve">Proposal No. 1: </w:t>
      </w:r>
      <w:r>
        <w:rPr>
          <w:rFonts w:ascii="Arial" w:cs="Arial" w:eastAsia="Arial" w:hAnsi="Arial"/>
          <w:sz w:val="17"/>
          <w:szCs w:val="17"/>
          <w:color w:val="auto"/>
        </w:rPr>
        <w:t>To elect nine directors to the Company’s Board of Directors (the “Board”) to serve until the next annual meeting of stockholders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until that person’s successor is duly elected and qualified, or until that person’s earlier, death, resignation or removal.</w:t>
      </w:r>
    </w:p>
    <w:p>
      <w:pPr>
        <w:ind w:left="660"/>
        <w:spacing w:after="0"/>
        <w:rPr>
          <w:sz w:val="20"/>
          <w:szCs w:val="20"/>
          <w:color w:val="auto"/>
        </w:rPr>
      </w:pPr>
      <w:r>
        <w:rPr>
          <w:rFonts w:ascii="Arial" w:cs="Arial" w:eastAsia="Arial" w:hAnsi="Arial"/>
          <w:sz w:val="18"/>
          <w:szCs w:val="18"/>
          <w:b w:val="1"/>
          <w:bCs w:val="1"/>
          <w:i w:val="1"/>
          <w:iCs w:val="1"/>
          <w:color w:val="auto"/>
        </w:rPr>
        <w:t xml:space="preserve">Proposal No. 2:  </w:t>
      </w:r>
      <w:r>
        <w:rPr>
          <w:rFonts w:ascii="Arial" w:cs="Arial" w:eastAsia="Arial" w:hAnsi="Arial"/>
          <w:sz w:val="18"/>
          <w:szCs w:val="18"/>
          <w:color w:val="auto"/>
        </w:rPr>
        <w:t>To ratify the appointment of KPMG LLP as the Company’s independent registered public accounting firm for 2019.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Proposal No. 3:  </w:t>
      </w:r>
      <w:r>
        <w:rPr>
          <w:rFonts w:ascii="Arial" w:cs="Arial" w:eastAsia="Arial" w:hAnsi="Arial"/>
          <w:sz w:val="18"/>
          <w:szCs w:val="18"/>
          <w:color w:val="auto"/>
        </w:rPr>
        <w:t>To hold an advisory vote to approve the compensation of the Company’s named executive officers.</w:t>
      </w:r>
    </w:p>
    <w:p>
      <w:pPr>
        <w:spacing w:after="0" w:line="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Each proposal is described in detail in the Company’s definitive proxy statement for the Annual Meeting, filed with the Securities and Exchange Commission on April 5, 2019, and amended on April 8, 2019. The results of such stockholder votes are set forth below.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Proposal No. 1: </w:t>
      </w:r>
      <w:r>
        <w:rPr>
          <w:rFonts w:ascii="Arial" w:cs="Arial" w:eastAsia="Arial" w:hAnsi="Arial"/>
          <w:sz w:val="18"/>
          <w:szCs w:val="18"/>
          <w:color w:val="auto"/>
        </w:rPr>
        <w:t>All of the director nominees were elected to the Board based on the following votes: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Nominee</w:t>
            </w:r>
          </w:p>
        </w:tc>
        <w:tc>
          <w:tcPr>
            <w:tcW w:w="3760" w:type="dxa"/>
            <w:vAlign w:val="bottom"/>
            <w:tcBorders>
              <w:bottom w:val="single" w:sz="8" w:color="auto"/>
            </w:tcBorders>
          </w:tcPr>
          <w:p>
            <w:pPr>
              <w:jc w:val="center"/>
              <w:ind w:left="1630"/>
              <w:spacing w:after="0"/>
              <w:rPr>
                <w:sz w:val="20"/>
                <w:szCs w:val="20"/>
                <w:color w:val="auto"/>
              </w:rPr>
            </w:pPr>
            <w:r>
              <w:rPr>
                <w:rFonts w:ascii="Arial" w:cs="Arial" w:eastAsia="Arial" w:hAnsi="Arial"/>
                <w:sz w:val="18"/>
                <w:szCs w:val="18"/>
                <w:b w:val="1"/>
                <w:bCs w:val="1"/>
                <w:color w:val="auto"/>
                <w:w w:val="96"/>
              </w:rPr>
              <w:t>For</w:t>
            </w:r>
          </w:p>
        </w:tc>
        <w:tc>
          <w:tcPr>
            <w:tcW w:w="174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Withheld</w:t>
            </w:r>
          </w:p>
        </w:tc>
        <w:tc>
          <w:tcPr>
            <w:tcW w:w="196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0"/>
              </w:rPr>
              <w:t>Broker Non-Vote</w:t>
            </w:r>
          </w:p>
        </w:tc>
      </w:tr>
      <w:tr>
        <w:trPr>
          <w:trHeight w:val="202"/>
        </w:trPr>
        <w:tc>
          <w:tcPr>
            <w:tcW w:w="3960" w:type="dxa"/>
            <w:vAlign w:val="bottom"/>
          </w:tcPr>
          <w:p>
            <w:pPr>
              <w:spacing w:after="0" w:line="201" w:lineRule="exact"/>
              <w:rPr>
                <w:sz w:val="20"/>
                <w:szCs w:val="20"/>
                <w:color w:val="auto"/>
              </w:rPr>
            </w:pPr>
            <w:r>
              <w:rPr>
                <w:rFonts w:ascii="Arial" w:cs="Arial" w:eastAsia="Arial" w:hAnsi="Arial"/>
                <w:sz w:val="18"/>
                <w:szCs w:val="18"/>
                <w:color w:val="auto"/>
              </w:rPr>
              <w:t>Tere Blanca</w:t>
            </w:r>
          </w:p>
        </w:tc>
        <w:tc>
          <w:tcPr>
            <w:tcW w:w="3760" w:type="dxa"/>
            <w:vAlign w:val="bottom"/>
          </w:tcPr>
          <w:p>
            <w:pPr>
              <w:jc w:val="center"/>
              <w:ind w:left="1610"/>
              <w:spacing w:after="0" w:line="201" w:lineRule="exact"/>
              <w:rPr>
                <w:sz w:val="20"/>
                <w:szCs w:val="20"/>
                <w:color w:val="auto"/>
              </w:rPr>
            </w:pPr>
            <w:r>
              <w:rPr>
                <w:rFonts w:ascii="Arial" w:cs="Arial" w:eastAsia="Arial" w:hAnsi="Arial"/>
                <w:sz w:val="18"/>
                <w:szCs w:val="18"/>
                <w:color w:val="auto"/>
                <w:w w:val="90"/>
              </w:rPr>
              <w:t>79,879,823</w:t>
            </w:r>
          </w:p>
        </w:tc>
        <w:tc>
          <w:tcPr>
            <w:tcW w:w="1740" w:type="dxa"/>
            <w:vAlign w:val="bottom"/>
          </w:tcPr>
          <w:p>
            <w:pPr>
              <w:jc w:val="center"/>
              <w:ind w:left="130"/>
              <w:spacing w:after="0" w:line="201" w:lineRule="exact"/>
              <w:rPr>
                <w:sz w:val="20"/>
                <w:szCs w:val="20"/>
                <w:color w:val="auto"/>
              </w:rPr>
            </w:pPr>
            <w:r>
              <w:rPr>
                <w:rFonts w:ascii="Arial" w:cs="Arial" w:eastAsia="Arial" w:hAnsi="Arial"/>
                <w:sz w:val="18"/>
                <w:szCs w:val="18"/>
                <w:color w:val="auto"/>
                <w:w w:val="89"/>
              </w:rPr>
              <w:t>1,140,852</w:t>
            </w:r>
          </w:p>
        </w:tc>
        <w:tc>
          <w:tcPr>
            <w:tcW w:w="1960" w:type="dxa"/>
            <w:vAlign w:val="bottom"/>
          </w:tcPr>
          <w:p>
            <w:pPr>
              <w:jc w:val="center"/>
              <w:ind w:left="70"/>
              <w:spacing w:after="0" w:line="201" w:lineRule="exact"/>
              <w:rPr>
                <w:sz w:val="20"/>
                <w:szCs w:val="20"/>
                <w:color w:val="auto"/>
              </w:rPr>
            </w:pPr>
            <w:r>
              <w:rPr>
                <w:rFonts w:ascii="Arial" w:cs="Arial" w:eastAsia="Arial" w:hAnsi="Arial"/>
                <w:sz w:val="18"/>
                <w:szCs w:val="18"/>
                <w:color w:val="auto"/>
                <w:w w:val="89"/>
              </w:rPr>
              <w:t>5,055,367</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John N. DiGiacomo</w:t>
            </w:r>
          </w:p>
        </w:tc>
        <w:tc>
          <w:tcPr>
            <w:tcW w:w="3760" w:type="dxa"/>
            <w:vAlign w:val="bottom"/>
          </w:tcPr>
          <w:p>
            <w:pPr>
              <w:jc w:val="center"/>
              <w:ind w:left="1610"/>
              <w:spacing w:after="0"/>
              <w:rPr>
                <w:sz w:val="20"/>
                <w:szCs w:val="20"/>
                <w:color w:val="auto"/>
              </w:rPr>
            </w:pPr>
            <w:r>
              <w:rPr>
                <w:rFonts w:ascii="Arial" w:cs="Arial" w:eastAsia="Arial" w:hAnsi="Arial"/>
                <w:sz w:val="18"/>
                <w:szCs w:val="18"/>
                <w:color w:val="auto"/>
                <w:w w:val="90"/>
              </w:rPr>
              <w:t>79,673,350</w:t>
            </w:r>
          </w:p>
        </w:tc>
        <w:tc>
          <w:tcPr>
            <w:tcW w:w="1740" w:type="dxa"/>
            <w:vAlign w:val="bottom"/>
          </w:tcPr>
          <w:p>
            <w:pPr>
              <w:jc w:val="center"/>
              <w:ind w:left="130"/>
              <w:spacing w:after="0"/>
              <w:rPr>
                <w:sz w:val="20"/>
                <w:szCs w:val="20"/>
                <w:color w:val="auto"/>
              </w:rPr>
            </w:pPr>
            <w:r>
              <w:rPr>
                <w:rFonts w:ascii="Arial" w:cs="Arial" w:eastAsia="Arial" w:hAnsi="Arial"/>
                <w:sz w:val="18"/>
                <w:szCs w:val="18"/>
                <w:color w:val="auto"/>
                <w:w w:val="89"/>
              </w:rPr>
              <w:t>1,347,325</w:t>
            </w:r>
          </w:p>
        </w:tc>
        <w:tc>
          <w:tcPr>
            <w:tcW w:w="1960" w:type="dxa"/>
            <w:vAlign w:val="bottom"/>
          </w:tcPr>
          <w:p>
            <w:pPr>
              <w:jc w:val="center"/>
              <w:ind w:left="70"/>
              <w:spacing w:after="0"/>
              <w:rPr>
                <w:sz w:val="20"/>
                <w:szCs w:val="20"/>
                <w:color w:val="auto"/>
              </w:rPr>
            </w:pPr>
            <w:r>
              <w:rPr>
                <w:rFonts w:ascii="Arial" w:cs="Arial" w:eastAsia="Arial" w:hAnsi="Arial"/>
                <w:sz w:val="18"/>
                <w:szCs w:val="18"/>
                <w:color w:val="auto"/>
                <w:w w:val="89"/>
              </w:rPr>
              <w:t>5,055,367</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Michael J. Dowling</w:t>
            </w:r>
          </w:p>
        </w:tc>
        <w:tc>
          <w:tcPr>
            <w:tcW w:w="3760" w:type="dxa"/>
            <w:vAlign w:val="bottom"/>
          </w:tcPr>
          <w:p>
            <w:pPr>
              <w:jc w:val="center"/>
              <w:ind w:left="1610"/>
              <w:spacing w:after="0"/>
              <w:rPr>
                <w:sz w:val="20"/>
                <w:szCs w:val="20"/>
                <w:color w:val="auto"/>
              </w:rPr>
            </w:pPr>
            <w:r>
              <w:rPr>
                <w:rFonts w:ascii="Arial" w:cs="Arial" w:eastAsia="Arial" w:hAnsi="Arial"/>
                <w:sz w:val="18"/>
                <w:szCs w:val="18"/>
                <w:color w:val="auto"/>
                <w:w w:val="90"/>
              </w:rPr>
              <w:t>74,714,699</w:t>
            </w:r>
          </w:p>
        </w:tc>
        <w:tc>
          <w:tcPr>
            <w:tcW w:w="1740" w:type="dxa"/>
            <w:vAlign w:val="bottom"/>
          </w:tcPr>
          <w:p>
            <w:pPr>
              <w:jc w:val="center"/>
              <w:ind w:left="130"/>
              <w:spacing w:after="0"/>
              <w:rPr>
                <w:sz w:val="20"/>
                <w:szCs w:val="20"/>
                <w:color w:val="auto"/>
              </w:rPr>
            </w:pPr>
            <w:r>
              <w:rPr>
                <w:rFonts w:ascii="Arial" w:cs="Arial" w:eastAsia="Arial" w:hAnsi="Arial"/>
                <w:sz w:val="18"/>
                <w:szCs w:val="18"/>
                <w:color w:val="auto"/>
                <w:w w:val="89"/>
              </w:rPr>
              <w:t>6,305,976</w:t>
            </w:r>
          </w:p>
        </w:tc>
        <w:tc>
          <w:tcPr>
            <w:tcW w:w="1960" w:type="dxa"/>
            <w:vAlign w:val="bottom"/>
          </w:tcPr>
          <w:p>
            <w:pPr>
              <w:jc w:val="center"/>
              <w:ind w:left="70"/>
              <w:spacing w:after="0"/>
              <w:rPr>
                <w:sz w:val="20"/>
                <w:szCs w:val="20"/>
                <w:color w:val="auto"/>
              </w:rPr>
            </w:pPr>
            <w:r>
              <w:rPr>
                <w:rFonts w:ascii="Arial" w:cs="Arial" w:eastAsia="Arial" w:hAnsi="Arial"/>
                <w:sz w:val="18"/>
                <w:szCs w:val="18"/>
                <w:color w:val="auto"/>
                <w:w w:val="89"/>
              </w:rPr>
              <w:t>5,055,367</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Douglas J. Pauls</w:t>
            </w:r>
          </w:p>
        </w:tc>
        <w:tc>
          <w:tcPr>
            <w:tcW w:w="3760" w:type="dxa"/>
            <w:vAlign w:val="bottom"/>
          </w:tcPr>
          <w:p>
            <w:pPr>
              <w:jc w:val="center"/>
              <w:ind w:left="1610"/>
              <w:spacing w:after="0"/>
              <w:rPr>
                <w:sz w:val="20"/>
                <w:szCs w:val="20"/>
                <w:color w:val="auto"/>
              </w:rPr>
            </w:pPr>
            <w:r>
              <w:rPr>
                <w:rFonts w:ascii="Arial" w:cs="Arial" w:eastAsia="Arial" w:hAnsi="Arial"/>
                <w:sz w:val="18"/>
                <w:szCs w:val="18"/>
                <w:color w:val="auto"/>
                <w:w w:val="90"/>
              </w:rPr>
              <w:t>79,672,612</w:t>
            </w:r>
          </w:p>
        </w:tc>
        <w:tc>
          <w:tcPr>
            <w:tcW w:w="1740" w:type="dxa"/>
            <w:vAlign w:val="bottom"/>
          </w:tcPr>
          <w:p>
            <w:pPr>
              <w:jc w:val="center"/>
              <w:ind w:left="130"/>
              <w:spacing w:after="0"/>
              <w:rPr>
                <w:sz w:val="20"/>
                <w:szCs w:val="20"/>
                <w:color w:val="auto"/>
              </w:rPr>
            </w:pPr>
            <w:r>
              <w:rPr>
                <w:rFonts w:ascii="Arial" w:cs="Arial" w:eastAsia="Arial" w:hAnsi="Arial"/>
                <w:sz w:val="18"/>
                <w:szCs w:val="18"/>
                <w:color w:val="auto"/>
                <w:w w:val="89"/>
              </w:rPr>
              <w:t>1,348,063</w:t>
            </w:r>
          </w:p>
        </w:tc>
        <w:tc>
          <w:tcPr>
            <w:tcW w:w="1960" w:type="dxa"/>
            <w:vAlign w:val="bottom"/>
          </w:tcPr>
          <w:p>
            <w:pPr>
              <w:jc w:val="center"/>
              <w:ind w:left="70"/>
              <w:spacing w:after="0"/>
              <w:rPr>
                <w:sz w:val="20"/>
                <w:szCs w:val="20"/>
                <w:color w:val="auto"/>
              </w:rPr>
            </w:pPr>
            <w:r>
              <w:rPr>
                <w:rFonts w:ascii="Arial" w:cs="Arial" w:eastAsia="Arial" w:hAnsi="Arial"/>
                <w:sz w:val="18"/>
                <w:szCs w:val="18"/>
                <w:color w:val="auto"/>
                <w:w w:val="89"/>
              </w:rPr>
              <w:t>5,055,367</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 Gail Prudenti</w:t>
            </w:r>
          </w:p>
        </w:tc>
        <w:tc>
          <w:tcPr>
            <w:tcW w:w="3760" w:type="dxa"/>
            <w:vAlign w:val="bottom"/>
          </w:tcPr>
          <w:p>
            <w:pPr>
              <w:jc w:val="center"/>
              <w:ind w:left="1610"/>
              <w:spacing w:after="0"/>
              <w:rPr>
                <w:sz w:val="20"/>
                <w:szCs w:val="20"/>
                <w:color w:val="auto"/>
              </w:rPr>
            </w:pPr>
            <w:r>
              <w:rPr>
                <w:rFonts w:ascii="Arial" w:cs="Arial" w:eastAsia="Arial" w:hAnsi="Arial"/>
                <w:sz w:val="18"/>
                <w:szCs w:val="18"/>
                <w:color w:val="auto"/>
                <w:w w:val="90"/>
              </w:rPr>
              <w:t>78,640,951</w:t>
            </w:r>
          </w:p>
        </w:tc>
        <w:tc>
          <w:tcPr>
            <w:tcW w:w="1740" w:type="dxa"/>
            <w:vAlign w:val="bottom"/>
          </w:tcPr>
          <w:p>
            <w:pPr>
              <w:jc w:val="center"/>
              <w:ind w:left="130"/>
              <w:spacing w:after="0"/>
              <w:rPr>
                <w:sz w:val="20"/>
                <w:szCs w:val="20"/>
                <w:color w:val="auto"/>
              </w:rPr>
            </w:pPr>
            <w:r>
              <w:rPr>
                <w:rFonts w:ascii="Arial" w:cs="Arial" w:eastAsia="Arial" w:hAnsi="Arial"/>
                <w:sz w:val="18"/>
                <w:szCs w:val="18"/>
                <w:color w:val="auto"/>
                <w:w w:val="89"/>
              </w:rPr>
              <w:t>2,379,724</w:t>
            </w:r>
          </w:p>
        </w:tc>
        <w:tc>
          <w:tcPr>
            <w:tcW w:w="1960" w:type="dxa"/>
            <w:vAlign w:val="bottom"/>
          </w:tcPr>
          <w:p>
            <w:pPr>
              <w:jc w:val="center"/>
              <w:ind w:left="70"/>
              <w:spacing w:after="0"/>
              <w:rPr>
                <w:sz w:val="20"/>
                <w:szCs w:val="20"/>
                <w:color w:val="auto"/>
              </w:rPr>
            </w:pPr>
            <w:r>
              <w:rPr>
                <w:rFonts w:ascii="Arial" w:cs="Arial" w:eastAsia="Arial" w:hAnsi="Arial"/>
                <w:sz w:val="18"/>
                <w:szCs w:val="18"/>
                <w:color w:val="auto"/>
                <w:w w:val="89"/>
              </w:rPr>
              <w:t>5,055,367</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William S. Rubenstein</w:t>
            </w:r>
          </w:p>
        </w:tc>
        <w:tc>
          <w:tcPr>
            <w:tcW w:w="3760" w:type="dxa"/>
            <w:vAlign w:val="bottom"/>
          </w:tcPr>
          <w:p>
            <w:pPr>
              <w:jc w:val="center"/>
              <w:ind w:left="1610"/>
              <w:spacing w:after="0"/>
              <w:rPr>
                <w:sz w:val="20"/>
                <w:szCs w:val="20"/>
                <w:color w:val="auto"/>
              </w:rPr>
            </w:pPr>
            <w:r>
              <w:rPr>
                <w:rFonts w:ascii="Arial" w:cs="Arial" w:eastAsia="Arial" w:hAnsi="Arial"/>
                <w:sz w:val="18"/>
                <w:szCs w:val="18"/>
                <w:color w:val="auto"/>
                <w:w w:val="90"/>
              </w:rPr>
              <w:t>80,912,489</w:t>
            </w:r>
          </w:p>
        </w:tc>
        <w:tc>
          <w:tcPr>
            <w:tcW w:w="1740" w:type="dxa"/>
            <w:vAlign w:val="bottom"/>
          </w:tcPr>
          <w:p>
            <w:pPr>
              <w:jc w:val="center"/>
              <w:ind w:left="110"/>
              <w:spacing w:after="0"/>
              <w:rPr>
                <w:sz w:val="20"/>
                <w:szCs w:val="20"/>
                <w:color w:val="auto"/>
              </w:rPr>
            </w:pPr>
            <w:r>
              <w:rPr>
                <w:rFonts w:ascii="Arial" w:cs="Arial" w:eastAsia="Arial" w:hAnsi="Arial"/>
                <w:sz w:val="18"/>
                <w:szCs w:val="18"/>
                <w:color w:val="auto"/>
                <w:w w:val="89"/>
              </w:rPr>
              <w:t>108,186</w:t>
            </w:r>
          </w:p>
        </w:tc>
        <w:tc>
          <w:tcPr>
            <w:tcW w:w="1960" w:type="dxa"/>
            <w:vAlign w:val="bottom"/>
          </w:tcPr>
          <w:p>
            <w:pPr>
              <w:jc w:val="center"/>
              <w:ind w:left="70"/>
              <w:spacing w:after="0"/>
              <w:rPr>
                <w:sz w:val="20"/>
                <w:szCs w:val="20"/>
                <w:color w:val="auto"/>
              </w:rPr>
            </w:pPr>
            <w:r>
              <w:rPr>
                <w:rFonts w:ascii="Arial" w:cs="Arial" w:eastAsia="Arial" w:hAnsi="Arial"/>
                <w:sz w:val="18"/>
                <w:szCs w:val="18"/>
                <w:color w:val="auto"/>
                <w:w w:val="89"/>
              </w:rPr>
              <w:t>5,055,367</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Rajinder P. Singh</w:t>
            </w:r>
          </w:p>
        </w:tc>
        <w:tc>
          <w:tcPr>
            <w:tcW w:w="3760" w:type="dxa"/>
            <w:vAlign w:val="bottom"/>
          </w:tcPr>
          <w:p>
            <w:pPr>
              <w:jc w:val="center"/>
              <w:ind w:left="1610"/>
              <w:spacing w:after="0"/>
              <w:rPr>
                <w:sz w:val="20"/>
                <w:szCs w:val="20"/>
                <w:color w:val="auto"/>
              </w:rPr>
            </w:pPr>
            <w:r>
              <w:rPr>
                <w:rFonts w:ascii="Arial" w:cs="Arial" w:eastAsia="Arial" w:hAnsi="Arial"/>
                <w:sz w:val="18"/>
                <w:szCs w:val="18"/>
                <w:color w:val="auto"/>
                <w:w w:val="90"/>
              </w:rPr>
              <w:t>77,669,778</w:t>
            </w:r>
          </w:p>
        </w:tc>
        <w:tc>
          <w:tcPr>
            <w:tcW w:w="1740" w:type="dxa"/>
            <w:vAlign w:val="bottom"/>
          </w:tcPr>
          <w:p>
            <w:pPr>
              <w:jc w:val="center"/>
              <w:ind w:left="130"/>
              <w:spacing w:after="0"/>
              <w:rPr>
                <w:sz w:val="20"/>
                <w:szCs w:val="20"/>
                <w:color w:val="auto"/>
              </w:rPr>
            </w:pPr>
            <w:r>
              <w:rPr>
                <w:rFonts w:ascii="Arial" w:cs="Arial" w:eastAsia="Arial" w:hAnsi="Arial"/>
                <w:sz w:val="18"/>
                <w:szCs w:val="18"/>
                <w:color w:val="auto"/>
                <w:w w:val="89"/>
              </w:rPr>
              <w:t>3,350,897</w:t>
            </w:r>
          </w:p>
        </w:tc>
        <w:tc>
          <w:tcPr>
            <w:tcW w:w="1960" w:type="dxa"/>
            <w:vAlign w:val="bottom"/>
          </w:tcPr>
          <w:p>
            <w:pPr>
              <w:jc w:val="center"/>
              <w:ind w:left="70"/>
              <w:spacing w:after="0"/>
              <w:rPr>
                <w:sz w:val="20"/>
                <w:szCs w:val="20"/>
                <w:color w:val="auto"/>
              </w:rPr>
            </w:pPr>
            <w:r>
              <w:rPr>
                <w:rFonts w:ascii="Arial" w:cs="Arial" w:eastAsia="Arial" w:hAnsi="Arial"/>
                <w:sz w:val="18"/>
                <w:szCs w:val="18"/>
                <w:color w:val="auto"/>
                <w:w w:val="89"/>
              </w:rPr>
              <w:t>5,055,367</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Sanjiv Sobti, Ph.D.</w:t>
            </w:r>
          </w:p>
        </w:tc>
        <w:tc>
          <w:tcPr>
            <w:tcW w:w="3760" w:type="dxa"/>
            <w:vAlign w:val="bottom"/>
          </w:tcPr>
          <w:p>
            <w:pPr>
              <w:jc w:val="center"/>
              <w:ind w:left="1610"/>
              <w:spacing w:after="0"/>
              <w:rPr>
                <w:sz w:val="20"/>
                <w:szCs w:val="20"/>
                <w:color w:val="auto"/>
              </w:rPr>
            </w:pPr>
            <w:r>
              <w:rPr>
                <w:rFonts w:ascii="Arial" w:cs="Arial" w:eastAsia="Arial" w:hAnsi="Arial"/>
                <w:sz w:val="18"/>
                <w:szCs w:val="18"/>
                <w:color w:val="auto"/>
                <w:w w:val="90"/>
              </w:rPr>
              <w:t>80,914,233</w:t>
            </w:r>
          </w:p>
        </w:tc>
        <w:tc>
          <w:tcPr>
            <w:tcW w:w="1740" w:type="dxa"/>
            <w:vAlign w:val="bottom"/>
          </w:tcPr>
          <w:p>
            <w:pPr>
              <w:jc w:val="center"/>
              <w:ind w:left="110"/>
              <w:spacing w:after="0"/>
              <w:rPr>
                <w:sz w:val="20"/>
                <w:szCs w:val="20"/>
                <w:color w:val="auto"/>
              </w:rPr>
            </w:pPr>
            <w:r>
              <w:rPr>
                <w:rFonts w:ascii="Arial" w:cs="Arial" w:eastAsia="Arial" w:hAnsi="Arial"/>
                <w:sz w:val="18"/>
                <w:szCs w:val="18"/>
                <w:color w:val="auto"/>
                <w:w w:val="89"/>
              </w:rPr>
              <w:t>106,442</w:t>
            </w:r>
          </w:p>
        </w:tc>
        <w:tc>
          <w:tcPr>
            <w:tcW w:w="1960" w:type="dxa"/>
            <w:vAlign w:val="bottom"/>
          </w:tcPr>
          <w:p>
            <w:pPr>
              <w:jc w:val="center"/>
              <w:ind w:left="70"/>
              <w:spacing w:after="0"/>
              <w:rPr>
                <w:sz w:val="20"/>
                <w:szCs w:val="20"/>
                <w:color w:val="auto"/>
              </w:rPr>
            </w:pPr>
            <w:r>
              <w:rPr>
                <w:rFonts w:ascii="Arial" w:cs="Arial" w:eastAsia="Arial" w:hAnsi="Arial"/>
                <w:sz w:val="18"/>
                <w:szCs w:val="18"/>
                <w:color w:val="auto"/>
                <w:w w:val="89"/>
              </w:rPr>
              <w:t>5,055,367</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Lynne Wines</w:t>
            </w:r>
          </w:p>
        </w:tc>
        <w:tc>
          <w:tcPr>
            <w:tcW w:w="3760" w:type="dxa"/>
            <w:vAlign w:val="bottom"/>
          </w:tcPr>
          <w:p>
            <w:pPr>
              <w:jc w:val="center"/>
              <w:ind w:left="1610"/>
              <w:spacing w:after="0"/>
              <w:rPr>
                <w:sz w:val="20"/>
                <w:szCs w:val="20"/>
                <w:color w:val="auto"/>
              </w:rPr>
            </w:pPr>
            <w:r>
              <w:rPr>
                <w:rFonts w:ascii="Arial" w:cs="Arial" w:eastAsia="Arial" w:hAnsi="Arial"/>
                <w:sz w:val="18"/>
                <w:szCs w:val="18"/>
                <w:color w:val="auto"/>
                <w:w w:val="90"/>
              </w:rPr>
              <w:t>78,256,597</w:t>
            </w:r>
          </w:p>
        </w:tc>
        <w:tc>
          <w:tcPr>
            <w:tcW w:w="1740" w:type="dxa"/>
            <w:vAlign w:val="bottom"/>
          </w:tcPr>
          <w:p>
            <w:pPr>
              <w:jc w:val="center"/>
              <w:ind w:left="130"/>
              <w:spacing w:after="0"/>
              <w:rPr>
                <w:sz w:val="20"/>
                <w:szCs w:val="20"/>
                <w:color w:val="auto"/>
              </w:rPr>
            </w:pPr>
            <w:r>
              <w:rPr>
                <w:rFonts w:ascii="Arial" w:cs="Arial" w:eastAsia="Arial" w:hAnsi="Arial"/>
                <w:sz w:val="18"/>
                <w:szCs w:val="18"/>
                <w:color w:val="auto"/>
                <w:w w:val="89"/>
              </w:rPr>
              <w:t>2,764,078</w:t>
            </w:r>
          </w:p>
        </w:tc>
        <w:tc>
          <w:tcPr>
            <w:tcW w:w="1960" w:type="dxa"/>
            <w:vAlign w:val="bottom"/>
          </w:tcPr>
          <w:p>
            <w:pPr>
              <w:jc w:val="center"/>
              <w:ind w:left="70"/>
              <w:spacing w:after="0"/>
              <w:rPr>
                <w:sz w:val="20"/>
                <w:szCs w:val="20"/>
                <w:color w:val="auto"/>
              </w:rPr>
            </w:pPr>
            <w:r>
              <w:rPr>
                <w:rFonts w:ascii="Arial" w:cs="Arial" w:eastAsia="Arial" w:hAnsi="Arial"/>
                <w:sz w:val="18"/>
                <w:szCs w:val="18"/>
                <w:color w:val="auto"/>
                <w:w w:val="89"/>
              </w:rPr>
              <w:t>5,055,367</w:t>
            </w:r>
          </w:p>
        </w:tc>
      </w:tr>
    </w:tbl>
    <w:p>
      <w:pPr>
        <w:spacing w:after="0" w:line="200" w:lineRule="exact"/>
        <w:rPr>
          <w:sz w:val="20"/>
          <w:szCs w:val="20"/>
          <w:color w:val="auto"/>
        </w:rPr>
      </w:pPr>
    </w:p>
    <w:p>
      <w:pPr>
        <w:spacing w:after="0" w:line="349"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Proposal No. 2: </w:t>
      </w:r>
      <w:r>
        <w:rPr>
          <w:rFonts w:ascii="Arial" w:cs="Arial" w:eastAsia="Arial" w:hAnsi="Arial"/>
          <w:sz w:val="18"/>
          <w:szCs w:val="18"/>
          <w:color w:val="auto"/>
        </w:rPr>
        <w:t>The proposal to ratify the appointment of KPMG LLP as the Company’s independent registered public accounting firm for the fiscal year</w:t>
      </w:r>
      <w:r>
        <w:rPr>
          <w:rFonts w:ascii="Arial" w:cs="Arial" w:eastAsia="Arial" w:hAnsi="Arial"/>
          <w:sz w:val="18"/>
          <w:szCs w:val="18"/>
          <w:b w:val="1"/>
          <w:bCs w:val="1"/>
          <w:color w:val="auto"/>
        </w:rPr>
        <w:t xml:space="preserve"> </w:t>
      </w:r>
      <w:r>
        <w:rPr>
          <w:rFonts w:ascii="Arial" w:cs="Arial" w:eastAsia="Arial" w:hAnsi="Arial"/>
          <w:sz w:val="18"/>
          <w:szCs w:val="18"/>
          <w:color w:val="auto"/>
        </w:rPr>
        <w:t>ending December 31, 2019 received the following votes: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Against</w:t>
            </w:r>
          </w:p>
        </w:tc>
        <w:tc>
          <w:tcPr>
            <w:tcW w:w="25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0"/>
              </w:rPr>
              <w:t>Abstain</w:t>
            </w:r>
          </w:p>
        </w:tc>
        <w:tc>
          <w:tcPr>
            <w:tcW w:w="296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0"/>
              </w:rPr>
              <w:t>Broker Non-Vote</w:t>
            </w:r>
          </w:p>
        </w:tc>
      </w:tr>
      <w:tr>
        <w:trPr>
          <w:trHeight w:val="230"/>
        </w:trPr>
        <w:tc>
          <w:tcPr>
            <w:tcW w:w="3040" w:type="dxa"/>
            <w:vAlign w:val="bottom"/>
          </w:tcPr>
          <w:p>
            <w:pPr>
              <w:jc w:val="right"/>
              <w:ind w:right="1010"/>
              <w:spacing w:after="0"/>
              <w:rPr>
                <w:sz w:val="20"/>
                <w:szCs w:val="20"/>
                <w:color w:val="auto"/>
              </w:rPr>
            </w:pPr>
            <w:r>
              <w:rPr>
                <w:rFonts w:ascii="Arial" w:cs="Arial" w:eastAsia="Arial" w:hAnsi="Arial"/>
                <w:sz w:val="18"/>
                <w:szCs w:val="18"/>
                <w:color w:val="auto"/>
              </w:rPr>
              <w:t>84,878,286</w:t>
            </w:r>
          </w:p>
        </w:tc>
        <w:tc>
          <w:tcPr>
            <w:tcW w:w="2880" w:type="dxa"/>
            <w:vAlign w:val="bottom"/>
          </w:tcPr>
          <w:p>
            <w:pPr>
              <w:jc w:val="right"/>
              <w:ind w:right="970"/>
              <w:spacing w:after="0"/>
              <w:rPr>
                <w:sz w:val="20"/>
                <w:szCs w:val="20"/>
                <w:color w:val="auto"/>
              </w:rPr>
            </w:pPr>
            <w:r>
              <w:rPr>
                <w:rFonts w:ascii="Arial" w:cs="Arial" w:eastAsia="Arial" w:hAnsi="Arial"/>
                <w:sz w:val="18"/>
                <w:szCs w:val="18"/>
                <w:color w:val="auto"/>
              </w:rPr>
              <w:t>1,167,379</w:t>
            </w:r>
          </w:p>
        </w:tc>
        <w:tc>
          <w:tcPr>
            <w:tcW w:w="2540" w:type="dxa"/>
            <w:vAlign w:val="bottom"/>
          </w:tcPr>
          <w:p>
            <w:pPr>
              <w:jc w:val="right"/>
              <w:ind w:right="850"/>
              <w:spacing w:after="0"/>
              <w:rPr>
                <w:sz w:val="20"/>
                <w:szCs w:val="20"/>
                <w:color w:val="auto"/>
              </w:rPr>
            </w:pPr>
            <w:r>
              <w:rPr>
                <w:rFonts w:ascii="Arial" w:cs="Arial" w:eastAsia="Arial" w:hAnsi="Arial"/>
                <w:sz w:val="18"/>
                <w:szCs w:val="18"/>
                <w:color w:val="auto"/>
              </w:rPr>
              <w:t>30,377</w:t>
            </w:r>
          </w:p>
        </w:tc>
        <w:tc>
          <w:tcPr>
            <w:tcW w:w="2960" w:type="dxa"/>
            <w:vAlign w:val="bottom"/>
          </w:tcPr>
          <w:p>
            <w:pPr>
              <w:jc w:val="center"/>
              <w:ind w:left="50"/>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Proposal No. 3: </w:t>
      </w:r>
      <w:r>
        <w:rPr>
          <w:rFonts w:ascii="Arial" w:cs="Arial" w:eastAsia="Arial" w:hAnsi="Arial"/>
          <w:sz w:val="18"/>
          <w:szCs w:val="18"/>
          <w:color w:val="auto"/>
        </w:rPr>
        <w:t>The advisory vote to approve the compensation of the Company’s named executive officers received the following votes: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Against</w:t>
            </w:r>
          </w:p>
        </w:tc>
        <w:tc>
          <w:tcPr>
            <w:tcW w:w="252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90"/>
              </w:rPr>
              <w:t>Abstain</w:t>
            </w:r>
          </w:p>
        </w:tc>
        <w:tc>
          <w:tcPr>
            <w:tcW w:w="29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2"/>
              </w:rPr>
              <w:t>Broker Non-Vote</w:t>
            </w:r>
          </w:p>
        </w:tc>
      </w:tr>
      <w:tr>
        <w:trPr>
          <w:trHeight w:val="230"/>
        </w:trPr>
        <w:tc>
          <w:tcPr>
            <w:tcW w:w="3000" w:type="dxa"/>
            <w:vAlign w:val="bottom"/>
          </w:tcPr>
          <w:p>
            <w:pPr>
              <w:jc w:val="right"/>
              <w:ind w:right="990"/>
              <w:spacing w:after="0"/>
              <w:rPr>
                <w:sz w:val="20"/>
                <w:szCs w:val="20"/>
                <w:color w:val="auto"/>
              </w:rPr>
            </w:pPr>
            <w:r>
              <w:rPr>
                <w:rFonts w:ascii="Arial" w:cs="Arial" w:eastAsia="Arial" w:hAnsi="Arial"/>
                <w:sz w:val="18"/>
                <w:szCs w:val="18"/>
                <w:color w:val="auto"/>
              </w:rPr>
              <w:t>53,169,862</w:t>
            </w:r>
          </w:p>
        </w:tc>
        <w:tc>
          <w:tcPr>
            <w:tcW w:w="2940" w:type="dxa"/>
            <w:vAlign w:val="bottom"/>
          </w:tcPr>
          <w:p>
            <w:pPr>
              <w:jc w:val="right"/>
              <w:ind w:right="950"/>
              <w:spacing w:after="0"/>
              <w:rPr>
                <w:sz w:val="20"/>
                <w:szCs w:val="20"/>
                <w:color w:val="auto"/>
              </w:rPr>
            </w:pPr>
            <w:r>
              <w:rPr>
                <w:rFonts w:ascii="Arial" w:cs="Arial" w:eastAsia="Arial" w:hAnsi="Arial"/>
                <w:sz w:val="18"/>
                <w:szCs w:val="18"/>
                <w:color w:val="auto"/>
              </w:rPr>
              <w:t>27,816,990</w:t>
            </w:r>
          </w:p>
        </w:tc>
        <w:tc>
          <w:tcPr>
            <w:tcW w:w="2520" w:type="dxa"/>
            <w:vAlign w:val="bottom"/>
          </w:tcPr>
          <w:p>
            <w:pPr>
              <w:jc w:val="right"/>
              <w:ind w:right="850"/>
              <w:spacing w:after="0"/>
              <w:rPr>
                <w:sz w:val="20"/>
                <w:szCs w:val="20"/>
                <w:color w:val="auto"/>
              </w:rPr>
            </w:pPr>
            <w:r>
              <w:rPr>
                <w:rFonts w:ascii="Arial" w:cs="Arial" w:eastAsia="Arial" w:hAnsi="Arial"/>
                <w:sz w:val="18"/>
                <w:szCs w:val="18"/>
                <w:color w:val="auto"/>
              </w:rPr>
              <w:t>33,823</w:t>
            </w:r>
          </w:p>
        </w:tc>
        <w:tc>
          <w:tcPr>
            <w:tcW w:w="2960" w:type="dxa"/>
            <w:vAlign w:val="bottom"/>
          </w:tcPr>
          <w:p>
            <w:pPr>
              <w:jc w:val="right"/>
              <w:ind w:right="970"/>
              <w:spacing w:after="0"/>
              <w:rPr>
                <w:sz w:val="20"/>
                <w:szCs w:val="20"/>
                <w:color w:val="auto"/>
              </w:rPr>
            </w:pPr>
            <w:r>
              <w:rPr>
                <w:rFonts w:ascii="Arial" w:cs="Arial" w:eastAsia="Arial" w:hAnsi="Arial"/>
                <w:sz w:val="18"/>
                <w:szCs w:val="18"/>
                <w:color w:val="auto"/>
              </w:rPr>
              <w:t>5,055,367</w:t>
            </w:r>
          </w:p>
        </w:tc>
      </w:tr>
      <w:tr>
        <w:trPr>
          <w:trHeight w:val="168"/>
        </w:trPr>
        <w:tc>
          <w:tcPr>
            <w:tcW w:w="30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315" w:right="239" w:bottom="1440" w:gutter="0" w:footer="0" w:header="0"/>
        </w:sectPr>
      </w:pPr>
    </w:p>
    <w:bookmarkStart w:id="2" w:name="page3"/>
    <w:bookmarkEnd w:id="2"/>
    <w:p>
      <w:pPr>
        <w:jc w:val="center"/>
        <w:ind w:right="-69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BANKUNITED, INC.</w:t>
      </w:r>
    </w:p>
    <w:p>
      <w:pPr>
        <w:spacing w:after="0" w:line="225" w:lineRule="exact"/>
        <w:rPr>
          <w:sz w:val="20"/>
          <w:szCs w:val="20"/>
          <w:color w:val="auto"/>
        </w:rPr>
      </w:pPr>
    </w:p>
    <w:p>
      <w:pPr>
        <w:spacing w:after="0"/>
        <w:tabs>
          <w:tab w:leader="none" w:pos="4860" w:val="left"/>
          <w:tab w:leader="none" w:pos="6200" w:val="left"/>
        </w:tabs>
        <w:rPr>
          <w:sz w:val="20"/>
          <w:szCs w:val="20"/>
          <w:color w:val="auto"/>
        </w:rPr>
      </w:pPr>
      <w:r>
        <w:rPr>
          <w:rFonts w:ascii="Arial" w:cs="Arial" w:eastAsia="Arial" w:hAnsi="Arial"/>
          <w:sz w:val="18"/>
          <w:szCs w:val="18"/>
          <w:color w:val="auto"/>
        </w:rPr>
        <w:t>Dated: May 16,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Leslie Lunak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14605</wp:posOffset>
            </wp:positionV>
            <wp:extent cx="33534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3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 Leslie Lunak</w:t>
      </w:r>
    </w:p>
    <w:p>
      <w:pPr>
        <w:spacing w:after="0" w:line="9" w:lineRule="exact"/>
        <w:rPr>
          <w:sz w:val="20"/>
          <w:szCs w:val="20"/>
          <w:color w:val="auto"/>
        </w:rPr>
      </w:pPr>
    </w:p>
    <w:p>
      <w:pPr>
        <w:ind w:left="6140"/>
        <w:spacing w:after="0"/>
        <w:tabs>
          <w:tab w:leader="none" w:pos="6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sectPr>
      <w:pgSz w:w="11900" w:h="16838" w:orient="portrait"/>
      <w:cols w:equalWidth="0" w:num="1">
        <w:col w:w="10720"/>
      </w:cols>
      <w:pgMar w:left="240" w:top="121"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2019-12-02T18:19:52Z</dcterms:created>
  <dcterms:modified xsi:type="dcterms:W3CDTF">2019-12-02T18:19:52Z</dcterms:modified>
</cp:coreProperties>
</file>