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346075</wp:posOffset>
            </wp:positionH>
            <wp:positionV relativeFrom="page">
              <wp:posOffset>243205</wp:posOffset>
            </wp:positionV>
            <wp:extent cx="68694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-224155</wp:posOffset>
            </wp:positionV>
            <wp:extent cx="6869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w:t>
      </w:r>
    </w:p>
    <w:p>
      <w:pPr>
        <w:spacing w:after="0" w:line="57" w:lineRule="exact"/>
        <w:rPr>
          <w:rFonts w:ascii="MS PGothic" w:cs="MS PGothic" w:eastAsia="MS PGothic" w:hAnsi="MS PGothic"/>
          <w:sz w:val="22"/>
          <w:szCs w:val="22"/>
          <w:color w:val="auto"/>
        </w:rPr>
      </w:pPr>
    </w:p>
    <w:p>
      <w:pPr>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right="500" w:firstLine="8"/>
        <w:spacing w:after="0" w:line="307" w:lineRule="auto"/>
        <w:tabs>
          <w:tab w:leader="none" w:pos="40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p>
      <w:pPr>
        <w:ind w:left="414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001-35039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BankUnited,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86"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46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tcPr>
          <w:p>
            <w:pPr>
              <w:jc w:val="right"/>
              <w:ind w:right="150"/>
              <w:spacing w:after="0"/>
              <w:rPr>
                <w:sz w:val="20"/>
                <w:szCs w:val="20"/>
                <w:color w:val="auto"/>
              </w:rPr>
            </w:pPr>
            <w:r>
              <w:rPr>
                <w:rFonts w:ascii="Arial" w:cs="Arial" w:eastAsia="Arial" w:hAnsi="Arial"/>
                <w:sz w:val="18"/>
                <w:szCs w:val="18"/>
                <w:b w:val="1"/>
                <w:bCs w:val="1"/>
                <w:color w:val="auto"/>
              </w:rPr>
              <w:t>27-0162450</w:t>
            </w:r>
          </w:p>
        </w:tc>
      </w:tr>
      <w:tr>
        <w:trPr>
          <w:trHeight w:val="256"/>
        </w:trPr>
        <w:tc>
          <w:tcPr>
            <w:tcW w:w="4620" w:type="dxa"/>
            <w:vAlign w:val="bottom"/>
          </w:tcPr>
          <w:p>
            <w:pPr>
              <w:jc w:val="center"/>
              <w:ind w:right="1670"/>
              <w:spacing w:after="0"/>
              <w:rPr>
                <w:sz w:val="20"/>
                <w:szCs w:val="20"/>
                <w:color w:val="auto"/>
              </w:rPr>
            </w:pPr>
            <w:r>
              <w:rPr>
                <w:rFonts w:ascii="Arial" w:cs="Arial" w:eastAsia="Arial" w:hAnsi="Arial"/>
                <w:sz w:val="18"/>
                <w:szCs w:val="18"/>
                <w:color w:val="auto"/>
                <w:w w:val="92"/>
              </w:rPr>
              <w:t>(State or other jurisdiction</w:t>
            </w:r>
          </w:p>
        </w:tc>
        <w:tc>
          <w:tcPr>
            <w:tcW w:w="3100" w:type="dxa"/>
            <w:vAlign w:val="bottom"/>
          </w:tcPr>
          <w:p>
            <w:pPr>
              <w:jc w:val="center"/>
              <w:ind w:left="1670"/>
              <w:spacing w:after="0"/>
              <w:rPr>
                <w:sz w:val="20"/>
                <w:szCs w:val="20"/>
                <w:color w:val="auto"/>
              </w:rPr>
            </w:pPr>
            <w:r>
              <w:rPr>
                <w:rFonts w:ascii="Arial" w:cs="Arial" w:eastAsia="Arial" w:hAnsi="Arial"/>
                <w:sz w:val="18"/>
                <w:szCs w:val="18"/>
                <w:color w:val="auto"/>
                <w:w w:val="92"/>
              </w:rPr>
              <w:t>(I.R.S. Employer</w:t>
            </w:r>
          </w:p>
        </w:tc>
      </w:tr>
      <w:tr>
        <w:trPr>
          <w:trHeight w:val="230"/>
        </w:trPr>
        <w:tc>
          <w:tcPr>
            <w:tcW w:w="4620" w:type="dxa"/>
            <w:vAlign w:val="bottom"/>
          </w:tcPr>
          <w:p>
            <w:pPr>
              <w:jc w:val="center"/>
              <w:ind w:right="1690"/>
              <w:spacing w:after="0"/>
              <w:rPr>
                <w:sz w:val="20"/>
                <w:szCs w:val="20"/>
                <w:color w:val="auto"/>
              </w:rPr>
            </w:pPr>
            <w:r>
              <w:rPr>
                <w:rFonts w:ascii="Arial" w:cs="Arial" w:eastAsia="Arial" w:hAnsi="Arial"/>
                <w:sz w:val="18"/>
                <w:szCs w:val="18"/>
                <w:color w:val="auto"/>
                <w:w w:val="92"/>
              </w:rPr>
              <w:t>of incorporation or organization)</w:t>
            </w:r>
          </w:p>
        </w:tc>
        <w:tc>
          <w:tcPr>
            <w:tcW w:w="3100" w:type="dxa"/>
            <w:vAlign w:val="bottom"/>
          </w:tcPr>
          <w:p>
            <w:pPr>
              <w:jc w:val="center"/>
              <w:ind w:left="1670"/>
              <w:spacing w:after="0"/>
              <w:rPr>
                <w:sz w:val="20"/>
                <w:szCs w:val="20"/>
                <w:color w:val="auto"/>
              </w:rPr>
            </w:pPr>
            <w:r>
              <w:rPr>
                <w:rFonts w:ascii="Arial" w:cs="Arial" w:eastAsia="Arial" w:hAnsi="Arial"/>
                <w:sz w:val="18"/>
                <w:szCs w:val="18"/>
                <w:color w:val="auto"/>
                <w:w w:val="95"/>
              </w:rPr>
              <w:t>Identification No.)</w:t>
            </w:r>
          </w:p>
        </w:tc>
      </w:tr>
      <w:tr>
        <w:trPr>
          <w:trHeight w:val="405"/>
        </w:trPr>
        <w:tc>
          <w:tcPr>
            <w:tcW w:w="46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4"/>
              </w:rPr>
              <w:t>14817 Oak Lane, Miami Lakes, FL</w:t>
            </w:r>
          </w:p>
        </w:tc>
        <w:tc>
          <w:tcPr>
            <w:tcW w:w="3100" w:type="dxa"/>
            <w:vAlign w:val="bottom"/>
          </w:tcPr>
          <w:p>
            <w:pPr>
              <w:jc w:val="right"/>
              <w:ind w:right="350"/>
              <w:spacing w:after="0"/>
              <w:rPr>
                <w:sz w:val="20"/>
                <w:szCs w:val="20"/>
                <w:color w:val="auto"/>
              </w:rPr>
            </w:pPr>
            <w:r>
              <w:rPr>
                <w:rFonts w:ascii="Arial" w:cs="Arial" w:eastAsia="Arial" w:hAnsi="Arial"/>
                <w:sz w:val="18"/>
                <w:szCs w:val="18"/>
                <w:b w:val="1"/>
                <w:bCs w:val="1"/>
                <w:color w:val="auto"/>
              </w:rPr>
              <w:t>33016</w:t>
            </w:r>
          </w:p>
        </w:tc>
      </w:tr>
      <w:tr>
        <w:trPr>
          <w:trHeight w:val="270"/>
        </w:trPr>
        <w:tc>
          <w:tcPr>
            <w:tcW w:w="4620" w:type="dxa"/>
            <w:vAlign w:val="bottom"/>
          </w:tcPr>
          <w:p>
            <w:pPr>
              <w:jc w:val="center"/>
              <w:ind w:right="1670"/>
              <w:spacing w:after="0"/>
              <w:rPr>
                <w:sz w:val="20"/>
                <w:szCs w:val="20"/>
                <w:color w:val="auto"/>
              </w:rPr>
            </w:pPr>
            <w:r>
              <w:rPr>
                <w:rFonts w:ascii="Arial" w:cs="Arial" w:eastAsia="Arial" w:hAnsi="Arial"/>
                <w:sz w:val="18"/>
                <w:szCs w:val="18"/>
                <w:color w:val="auto"/>
                <w:w w:val="92"/>
              </w:rPr>
              <w:t>(Address of principal executive offices)</w:t>
            </w:r>
          </w:p>
        </w:tc>
        <w:tc>
          <w:tcPr>
            <w:tcW w:w="3100" w:type="dxa"/>
            <w:vAlign w:val="bottom"/>
          </w:tcPr>
          <w:p>
            <w:pPr>
              <w:jc w:val="center"/>
              <w:ind w:left="1690"/>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left="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569-2000</w:t>
      </w:r>
    </w:p>
    <w:p>
      <w:pPr>
        <w:spacing w:after="0" w:line="283"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right="2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17" w:right="239" w:bottom="1440" w:gutter="0" w:footer="0" w:header="0"/>
        </w:sectPr>
      </w:pPr>
    </w:p>
    <w:p>
      <w:pPr>
        <w:spacing w:after="0" w:line="330" w:lineRule="exact"/>
        <w:rPr>
          <w:sz w:val="24"/>
          <w:szCs w:val="24"/>
          <w:color w:val="auto"/>
        </w:rPr>
      </w:pPr>
    </w:p>
    <w:p>
      <w:pPr>
        <w:ind w:left="17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6840" w:space="720"/>
            <w:col w:w="3860"/>
          </w:cols>
          <w:pgMar w:left="240" w:top="517"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460" w:space="720"/>
            <w:col w:w="4240"/>
          </w:cols>
          <w:pgMar w:left="240" w:top="517" w:right="239" w:bottom="1440" w:gutter="0" w:footer="0" w:header="0"/>
          <w:type w:val="continuous"/>
        </w:sectPr>
      </w:pPr>
    </w:p>
    <w:p>
      <w:pPr>
        <w:ind w:left="718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517" w:right="239" w:bottom="1440" w:gutter="0" w:footer="0" w:header="0"/>
          <w:type w:val="continuous"/>
        </w:sectPr>
      </w:pPr>
    </w:p>
    <w:p>
      <w:pPr>
        <w:spacing w:after="0" w:line="329"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2"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31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Class</w:t>
            </w:r>
          </w:p>
        </w:tc>
        <w:tc>
          <w:tcPr>
            <w:tcW w:w="3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Trading Symbol</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Exchange on Which Registered</w:t>
            </w:r>
          </w:p>
        </w:tc>
      </w:tr>
      <w:tr>
        <w:trPr>
          <w:trHeight w:val="80"/>
        </w:trPr>
        <w:tc>
          <w:tcPr>
            <w:tcW w:w="354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4100" w:type="dxa"/>
            <w:vAlign w:val="bottom"/>
            <w:tcBorders>
              <w:bottom w:val="single" w:sz="8" w:color="auto"/>
            </w:tcBorders>
          </w:tcPr>
          <w:p>
            <w:pPr>
              <w:spacing w:after="0"/>
              <w:rPr>
                <w:sz w:val="6"/>
                <w:szCs w:val="6"/>
                <w:color w:val="auto"/>
              </w:rPr>
            </w:pPr>
          </w:p>
        </w:tc>
      </w:tr>
      <w:tr>
        <w:trPr>
          <w:trHeight w:val="237"/>
        </w:trPr>
        <w:tc>
          <w:tcPr>
            <w:tcW w:w="40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Common Stock, $0.01 Par Value</w:t>
            </w:r>
          </w:p>
        </w:tc>
        <w:tc>
          <w:tcPr>
            <w:tcW w:w="3320" w:type="dxa"/>
            <w:vAlign w:val="bottom"/>
            <w:gridSpan w:val="2"/>
          </w:tcPr>
          <w:p>
            <w:pPr>
              <w:jc w:val="center"/>
              <w:ind w:right="460"/>
              <w:spacing w:after="0"/>
              <w:rPr>
                <w:sz w:val="20"/>
                <w:szCs w:val="20"/>
                <w:color w:val="auto"/>
              </w:rPr>
            </w:pPr>
            <w:r>
              <w:rPr>
                <w:rFonts w:ascii="Arial" w:cs="Arial" w:eastAsia="Arial" w:hAnsi="Arial"/>
                <w:sz w:val="18"/>
                <w:szCs w:val="18"/>
                <w:color w:val="auto"/>
              </w:rPr>
              <w:t>BKU</w:t>
            </w: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8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 common stock, $0.01 par value was 98,374,371 as of May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6920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08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6920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BANKUNITED,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31, 2019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gridSpan w:val="4"/>
          </w:tcPr>
          <w:p>
            <w:pPr>
              <w:ind w:left="1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Glossary of Defined Terms</w:t>
              </w:r>
            </w:hyperlink>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1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6040" w:type="dxa"/>
            <w:vAlign w:val="bottom"/>
            <w:gridSpan w:val="18"/>
          </w:tcPr>
          <w:p>
            <w:pPr>
              <w:spacing w:after="0"/>
              <w:rPr>
                <w:sz w:val="20"/>
                <w:szCs w:val="20"/>
                <w:color w:val="auto"/>
              </w:rPr>
            </w:pPr>
            <w:r>
              <w:rPr>
                <w:rFonts w:ascii="Arial" w:cs="Arial" w:eastAsia="Arial" w:hAnsi="Arial"/>
                <w:sz w:val="18"/>
                <w:szCs w:val="18"/>
                <w:b w:val="1"/>
                <w:bCs w:val="1"/>
                <w:color w:val="0000EE"/>
              </w:rPr>
              <w:t>FINANCIAL INFORMATION</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16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6040" w:type="dxa"/>
            <w:vAlign w:val="bottom"/>
            <w:gridSpan w:val="18"/>
          </w:tcPr>
          <w:p>
            <w:pPr>
              <w:spacing w:after="0"/>
              <w:rPr>
                <w:sz w:val="20"/>
                <w:szCs w:val="20"/>
                <w:color w:val="auto"/>
              </w:rPr>
            </w:pPr>
            <w:r>
              <w:rPr>
                <w:rFonts w:ascii="Arial" w:cs="Arial" w:eastAsia="Arial" w:hAnsi="Arial"/>
                <w:sz w:val="18"/>
                <w:szCs w:val="18"/>
                <w:color w:val="0000EE"/>
              </w:rPr>
              <w:t>Financial Statements (Unaudited)</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160" w:type="dxa"/>
            <w:vAlign w:val="bottom"/>
            <w:tcBorders>
              <w:top w:val="single" w:sz="8" w:color="0000EE"/>
            </w:tcBorders>
            <w:gridSpan w:val="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Balance Sheets</w:t>
              </w:r>
            </w:hyperlink>
          </w:p>
        </w:tc>
        <w:tc>
          <w:tcPr>
            <w:tcW w:w="3620" w:type="dxa"/>
            <w:vAlign w:val="bottom"/>
            <w:gridSpan w:val="8"/>
          </w:tcPr>
          <w:p>
            <w:pPr>
              <w:spacing w:after="0"/>
              <w:rPr>
                <w:sz w:val="21"/>
                <w:szCs w:val="21"/>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Income</w:t>
              </w:r>
            </w:hyperlink>
          </w:p>
        </w:tc>
        <w:tc>
          <w:tcPr>
            <w:tcW w:w="3220" w:type="dxa"/>
            <w:vAlign w:val="bottom"/>
            <w:gridSpan w:val="7"/>
          </w:tcPr>
          <w:p>
            <w:pPr>
              <w:spacing w:after="0"/>
              <w:rPr>
                <w:sz w:val="21"/>
                <w:szCs w:val="21"/>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40" w:type="dxa"/>
            <w:vAlign w:val="bottom"/>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Comprehensive Income</w:t>
              </w:r>
            </w:hyperlink>
          </w:p>
        </w:tc>
        <w:tc>
          <w:tcPr>
            <w:tcW w:w="2040" w:type="dxa"/>
            <w:vAlign w:val="bottom"/>
            <w:gridSpan w:val="3"/>
          </w:tcPr>
          <w:p>
            <w:pPr>
              <w:spacing w:after="0"/>
              <w:rPr>
                <w:sz w:val="21"/>
                <w:szCs w:val="21"/>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4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2040" w:type="dxa"/>
            <w:vAlign w:val="bottom"/>
            <w:gridSpan w:val="3"/>
          </w:tcPr>
          <w:p>
            <w:pPr>
              <w:spacing w:after="0"/>
              <w:rPr>
                <w:sz w:val="21"/>
                <w:szCs w:val="21"/>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78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Consolidated Statements of Stockholders’ Equity</w:t>
              </w:r>
            </w:hyperlink>
          </w:p>
        </w:tc>
        <w:tc>
          <w:tcPr>
            <w:tcW w:w="318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w:t>
              </w:r>
            </w:hyperlink>
          </w:p>
        </w:tc>
        <w:tc>
          <w:tcPr>
            <w:tcW w:w="2240" w:type="dxa"/>
            <w:vAlign w:val="bottom"/>
            <w:gridSpan w:val="4"/>
          </w:tcPr>
          <w:p>
            <w:pPr>
              <w:spacing w:after="0"/>
              <w:rPr>
                <w:sz w:val="21"/>
                <w:szCs w:val="21"/>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16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564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Management’s Discussion and Analysis of Financial Condition and Results of</w:t>
              </w:r>
            </w:hyperlink>
          </w:p>
        </w:tc>
        <w:tc>
          <w:tcPr>
            <w:tcW w:w="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gridSpan w:val="3"/>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Operations</w:t>
              </w:r>
            </w:hyperlink>
          </w:p>
        </w:tc>
        <w:tc>
          <w:tcPr>
            <w:tcW w:w="5240" w:type="dxa"/>
            <w:vAlign w:val="bottom"/>
            <w:gridSpan w:val="15"/>
          </w:tcPr>
          <w:p>
            <w:pPr>
              <w:spacing w:after="0"/>
              <w:rPr>
                <w:sz w:val="17"/>
                <w:szCs w:val="17"/>
                <w:color w:val="auto"/>
              </w:rPr>
            </w:pPr>
          </w:p>
        </w:tc>
        <w:tc>
          <w:tcPr>
            <w:tcW w:w="3180" w:type="dxa"/>
            <w:vAlign w:val="bottom"/>
            <w:gridSpan w:val="4"/>
          </w:tcPr>
          <w:p>
            <w:pPr>
              <w:jc w:val="right"/>
              <w:ind w:right="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16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60" w:type="dxa"/>
            <w:vAlign w:val="bottom"/>
            <w:gridSpan w:val="16"/>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Quantitative and Qualitative Disclosures About Market Risk</w:t>
              </w:r>
            </w:hyperlink>
          </w:p>
        </w:tc>
        <w:tc>
          <w:tcPr>
            <w:tcW w:w="1680" w:type="dxa"/>
            <w:vAlign w:val="bottom"/>
            <w:gridSpan w:val="2"/>
          </w:tcPr>
          <w:p>
            <w:pPr>
              <w:spacing w:after="0"/>
              <w:rPr>
                <w:sz w:val="24"/>
                <w:szCs w:val="24"/>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320" w:type="dxa"/>
            <w:vAlign w:val="bottom"/>
            <w:gridSpan w:val="8"/>
            <w:shd w:val="clear" w:color="auto" w:fill="0000EE"/>
          </w:tcPr>
          <w:p>
            <w:pPr>
              <w:spacing w:after="0" w:line="20" w:lineRule="exact"/>
              <w:rPr>
                <w:sz w:val="1"/>
                <w:szCs w:val="1"/>
                <w:color w:val="auto"/>
              </w:rPr>
            </w:pPr>
          </w:p>
        </w:tc>
        <w:tc>
          <w:tcPr>
            <w:tcW w:w="1680" w:type="dxa"/>
            <w:vAlign w:val="bottom"/>
            <w:tcBorders>
              <w:left w:val="single" w:sz="8" w:color="0000EE"/>
            </w:tcBorders>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16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Controls and Procedures</w:t>
              </w:r>
            </w:hyperlink>
          </w:p>
        </w:tc>
        <w:tc>
          <w:tcPr>
            <w:tcW w:w="2580" w:type="dxa"/>
            <w:vAlign w:val="bottom"/>
            <w:gridSpan w:val="10"/>
          </w:tcPr>
          <w:p>
            <w:pPr>
              <w:spacing w:after="0"/>
              <w:rPr>
                <w:sz w:val="24"/>
                <w:szCs w:val="24"/>
                <w:color w:val="auto"/>
              </w:rPr>
            </w:pPr>
          </w:p>
        </w:tc>
        <w:tc>
          <w:tcPr>
            <w:tcW w:w="1680" w:type="dxa"/>
            <w:vAlign w:val="bottom"/>
            <w:gridSpan w:val="2"/>
          </w:tcPr>
          <w:p>
            <w:pPr>
              <w:spacing w:after="0"/>
              <w:rPr>
                <w:sz w:val="24"/>
                <w:szCs w:val="24"/>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1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204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OTHER INFORMATION</w:t>
              </w:r>
            </w:hyperlink>
          </w:p>
        </w:tc>
        <w:tc>
          <w:tcPr>
            <w:tcW w:w="4000" w:type="dxa"/>
            <w:vAlign w:val="bottom"/>
            <w:gridSpan w:val="10"/>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16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6040" w:type="dxa"/>
            <w:vAlign w:val="bottom"/>
            <w:gridSpan w:val="1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Legal Proceedings</w:t>
              </w:r>
            </w:hyperlink>
          </w:p>
        </w:tc>
        <w:tc>
          <w:tcPr>
            <w:tcW w:w="318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16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Risk Factors</w:t>
              </w:r>
            </w:hyperlink>
          </w:p>
        </w:tc>
        <w:tc>
          <w:tcPr>
            <w:tcW w:w="420" w:type="dxa"/>
            <w:vAlign w:val="bottom"/>
          </w:tcPr>
          <w:p>
            <w:pPr>
              <w:spacing w:after="0"/>
              <w:rPr>
                <w:sz w:val="24"/>
                <w:szCs w:val="24"/>
                <w:color w:val="auto"/>
              </w:rPr>
            </w:pPr>
          </w:p>
        </w:tc>
        <w:tc>
          <w:tcPr>
            <w:tcW w:w="4700" w:type="dxa"/>
            <w:vAlign w:val="bottom"/>
            <w:gridSpan w:val="13"/>
          </w:tcPr>
          <w:p>
            <w:pPr>
              <w:spacing w:after="0"/>
              <w:rPr>
                <w:sz w:val="24"/>
                <w:szCs w:val="24"/>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16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4360" w:type="dxa"/>
            <w:vAlign w:val="bottom"/>
            <w:gridSpan w:val="16"/>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Unregistered Sales of Equity Securities and Use of Proceeds</w:t>
              </w:r>
            </w:hyperlink>
          </w:p>
        </w:tc>
        <w:tc>
          <w:tcPr>
            <w:tcW w:w="1680" w:type="dxa"/>
            <w:vAlign w:val="bottom"/>
            <w:gridSpan w:val="2"/>
          </w:tcPr>
          <w:p>
            <w:pPr>
              <w:spacing w:after="0"/>
              <w:rPr>
                <w:sz w:val="24"/>
                <w:szCs w:val="24"/>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760" w:type="dxa"/>
            <w:vAlign w:val="bottom"/>
            <w:gridSpan w:val="14"/>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16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4360" w:type="dxa"/>
            <w:vAlign w:val="bottom"/>
            <w:gridSpan w:val="1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1680" w:type="dxa"/>
            <w:vAlign w:val="bottom"/>
            <w:gridSpan w:val="2"/>
          </w:tcPr>
          <w:p>
            <w:pPr>
              <w:spacing w:after="0"/>
              <w:rPr>
                <w:sz w:val="24"/>
                <w:szCs w:val="24"/>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rFonts w:ascii="Arial" w:cs="Arial" w:eastAsia="Arial" w:hAnsi="Arial"/>
                <w:sz w:val="18"/>
                <w:szCs w:val="18"/>
                <w:b w:val="1"/>
                <w:bCs w:val="1"/>
                <w:color w:val="0000EE"/>
                <w:w w:val="96"/>
              </w:rPr>
            </w:pPr>
            <w:hyperlink w:anchor="page74">
              <w:r>
                <w:rPr>
                  <w:rFonts w:ascii="Arial" w:cs="Arial" w:eastAsia="Arial" w:hAnsi="Arial"/>
                  <w:sz w:val="18"/>
                  <w:szCs w:val="18"/>
                  <w:b w:val="1"/>
                  <w:bCs w:val="1"/>
                  <w:color w:val="0000EE"/>
                  <w:w w:val="96"/>
                </w:rPr>
                <w:t>SIGNATURES</w:t>
              </w:r>
            </w:hyperlink>
          </w:p>
        </w:tc>
        <w:tc>
          <w:tcPr>
            <w:tcW w:w="1000" w:type="dxa"/>
            <w:vAlign w:val="bottom"/>
            <w:vMerge w:val="restart"/>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79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GLOSSARY OF DEFINED TERMS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acronyms and terms may be used throughout this Form 10-Q, including the consolidated financial statements and related notes.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ACI</w:t>
            </w:r>
          </w:p>
        </w:tc>
        <w:tc>
          <w:tcPr>
            <w:tcW w:w="8540" w:type="dxa"/>
            <w:vAlign w:val="bottom"/>
            <w:vMerge w:val="restart"/>
          </w:tcPr>
          <w:p>
            <w:pPr>
              <w:ind w:left="740"/>
              <w:spacing w:after="0"/>
              <w:rPr>
                <w:sz w:val="20"/>
                <w:szCs w:val="20"/>
                <w:color w:val="auto"/>
              </w:rPr>
            </w:pPr>
            <w:r>
              <w:rPr>
                <w:rFonts w:ascii="Arial" w:cs="Arial" w:eastAsia="Arial" w:hAnsi="Arial"/>
                <w:sz w:val="18"/>
                <w:szCs w:val="18"/>
                <w:color w:val="auto"/>
                <w:w w:val="92"/>
              </w:rPr>
              <w:t>Loans acquired with evidence of deterioration in credit quality since origination (Acquired Credit Impaired)</w:t>
            </w:r>
          </w:p>
        </w:tc>
        <w:tc>
          <w:tcPr>
            <w:tcW w:w="0" w:type="dxa"/>
            <w:vAlign w:val="bottom"/>
          </w:tcPr>
          <w:p>
            <w:pPr>
              <w:spacing w:after="0"/>
              <w:rPr>
                <w:sz w:val="1"/>
                <w:szCs w:val="1"/>
                <w:color w:val="auto"/>
              </w:rPr>
            </w:pPr>
          </w:p>
        </w:tc>
      </w:tr>
      <w:tr>
        <w:trPr>
          <w:trHeight w:val="81"/>
        </w:trPr>
        <w:tc>
          <w:tcPr>
            <w:tcW w:w="2580" w:type="dxa"/>
            <w:vAlign w:val="bottom"/>
          </w:tcPr>
          <w:p>
            <w:pPr>
              <w:spacing w:after="0"/>
              <w:rPr>
                <w:sz w:val="7"/>
                <w:szCs w:val="7"/>
                <w:color w:val="auto"/>
              </w:rPr>
            </w:pPr>
          </w:p>
        </w:tc>
        <w:tc>
          <w:tcPr>
            <w:tcW w:w="8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580" w:type="dxa"/>
            <w:vAlign w:val="bottom"/>
          </w:tcPr>
          <w:p>
            <w:pPr>
              <w:spacing w:after="0"/>
              <w:rPr>
                <w:sz w:val="20"/>
                <w:szCs w:val="20"/>
                <w:color w:val="auto"/>
              </w:rPr>
            </w:pPr>
            <w:r>
              <w:rPr>
                <w:rFonts w:ascii="Arial" w:cs="Arial" w:eastAsia="Arial" w:hAnsi="Arial"/>
                <w:sz w:val="18"/>
                <w:szCs w:val="18"/>
                <w:color w:val="auto"/>
              </w:rPr>
              <w:t>AFS</w:t>
            </w:r>
          </w:p>
        </w:tc>
        <w:tc>
          <w:tcPr>
            <w:tcW w:w="8540" w:type="dxa"/>
            <w:vAlign w:val="bottom"/>
          </w:tcPr>
          <w:p>
            <w:pPr>
              <w:ind w:left="740"/>
              <w:spacing w:after="0"/>
              <w:rPr>
                <w:sz w:val="20"/>
                <w:szCs w:val="20"/>
                <w:color w:val="auto"/>
              </w:rPr>
            </w:pPr>
            <w:r>
              <w:rPr>
                <w:rFonts w:ascii="Arial" w:cs="Arial" w:eastAsia="Arial" w:hAnsi="Arial"/>
                <w:sz w:val="18"/>
                <w:szCs w:val="18"/>
                <w:color w:val="auto"/>
              </w:rPr>
              <w:t>Available for sale</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ALCO</w:t>
            </w:r>
          </w:p>
        </w:tc>
        <w:tc>
          <w:tcPr>
            <w:tcW w:w="8540" w:type="dxa"/>
            <w:vAlign w:val="bottom"/>
          </w:tcPr>
          <w:p>
            <w:pPr>
              <w:ind w:left="740"/>
              <w:spacing w:after="0"/>
              <w:rPr>
                <w:sz w:val="20"/>
                <w:szCs w:val="20"/>
                <w:color w:val="auto"/>
              </w:rPr>
            </w:pPr>
            <w:r>
              <w:rPr>
                <w:rFonts w:ascii="Arial" w:cs="Arial" w:eastAsia="Arial" w:hAnsi="Arial"/>
                <w:sz w:val="18"/>
                <w:szCs w:val="18"/>
                <w:color w:val="auto"/>
              </w:rPr>
              <w:t>Asset/Liability Committee</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ALLL</w:t>
            </w:r>
          </w:p>
        </w:tc>
        <w:tc>
          <w:tcPr>
            <w:tcW w:w="8540" w:type="dxa"/>
            <w:vAlign w:val="bottom"/>
          </w:tcPr>
          <w:p>
            <w:pPr>
              <w:ind w:left="740"/>
              <w:spacing w:after="0"/>
              <w:rPr>
                <w:sz w:val="20"/>
                <w:szCs w:val="20"/>
                <w:color w:val="auto"/>
              </w:rPr>
            </w:pPr>
            <w:r>
              <w:rPr>
                <w:rFonts w:ascii="Arial" w:cs="Arial" w:eastAsia="Arial" w:hAnsi="Arial"/>
                <w:sz w:val="18"/>
                <w:szCs w:val="18"/>
                <w:color w:val="auto"/>
              </w:rPr>
              <w:t>Allowance for loan and lease losses</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AOCI</w:t>
            </w:r>
          </w:p>
        </w:tc>
        <w:tc>
          <w:tcPr>
            <w:tcW w:w="8540" w:type="dxa"/>
            <w:vAlign w:val="bottom"/>
          </w:tcPr>
          <w:p>
            <w:pPr>
              <w:ind w:left="740"/>
              <w:spacing w:after="0"/>
              <w:rPr>
                <w:sz w:val="20"/>
                <w:szCs w:val="20"/>
                <w:color w:val="auto"/>
              </w:rPr>
            </w:pPr>
            <w:r>
              <w:rPr>
                <w:rFonts w:ascii="Arial" w:cs="Arial" w:eastAsia="Arial" w:hAnsi="Arial"/>
                <w:sz w:val="18"/>
                <w:szCs w:val="18"/>
                <w:color w:val="auto"/>
              </w:rPr>
              <w:t>Accumulated other comprehensive income</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ASC</w:t>
            </w:r>
          </w:p>
        </w:tc>
        <w:tc>
          <w:tcPr>
            <w:tcW w:w="8540" w:type="dxa"/>
            <w:vAlign w:val="bottom"/>
          </w:tcPr>
          <w:p>
            <w:pPr>
              <w:ind w:left="740"/>
              <w:spacing w:after="0"/>
              <w:rPr>
                <w:sz w:val="20"/>
                <w:szCs w:val="20"/>
                <w:color w:val="auto"/>
              </w:rPr>
            </w:pPr>
            <w:r>
              <w:rPr>
                <w:rFonts w:ascii="Arial" w:cs="Arial" w:eastAsia="Arial" w:hAnsi="Arial"/>
                <w:sz w:val="18"/>
                <w:szCs w:val="18"/>
                <w:color w:val="auto"/>
              </w:rPr>
              <w:t>Accounting Standards Codification</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ASU</w:t>
            </w:r>
          </w:p>
        </w:tc>
        <w:tc>
          <w:tcPr>
            <w:tcW w:w="8540" w:type="dxa"/>
            <w:vAlign w:val="bottom"/>
          </w:tcPr>
          <w:p>
            <w:pPr>
              <w:ind w:left="740"/>
              <w:spacing w:after="0"/>
              <w:rPr>
                <w:sz w:val="20"/>
                <w:szCs w:val="20"/>
                <w:color w:val="auto"/>
              </w:rPr>
            </w:pPr>
            <w:r>
              <w:rPr>
                <w:rFonts w:ascii="Arial" w:cs="Arial" w:eastAsia="Arial" w:hAnsi="Arial"/>
                <w:sz w:val="18"/>
                <w:szCs w:val="18"/>
                <w:color w:val="auto"/>
              </w:rPr>
              <w:t>Accounting Standards Update</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BKU</w:t>
            </w:r>
          </w:p>
        </w:tc>
        <w:tc>
          <w:tcPr>
            <w:tcW w:w="8540" w:type="dxa"/>
            <w:vAlign w:val="bottom"/>
          </w:tcPr>
          <w:p>
            <w:pPr>
              <w:ind w:left="740"/>
              <w:spacing w:after="0"/>
              <w:rPr>
                <w:sz w:val="20"/>
                <w:szCs w:val="20"/>
                <w:color w:val="auto"/>
              </w:rPr>
            </w:pPr>
            <w:r>
              <w:rPr>
                <w:rFonts w:ascii="Arial" w:cs="Arial" w:eastAsia="Arial" w:hAnsi="Arial"/>
                <w:sz w:val="18"/>
                <w:szCs w:val="18"/>
                <w:color w:val="auto"/>
              </w:rPr>
              <w:t>BankUnited, Inc.</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BankUnited</w:t>
            </w:r>
          </w:p>
        </w:tc>
        <w:tc>
          <w:tcPr>
            <w:tcW w:w="8540" w:type="dxa"/>
            <w:vAlign w:val="bottom"/>
          </w:tcPr>
          <w:p>
            <w:pPr>
              <w:ind w:left="740"/>
              <w:spacing w:after="0"/>
              <w:rPr>
                <w:sz w:val="20"/>
                <w:szCs w:val="20"/>
                <w:color w:val="auto"/>
              </w:rPr>
            </w:pPr>
            <w:r>
              <w:rPr>
                <w:rFonts w:ascii="Arial" w:cs="Arial" w:eastAsia="Arial" w:hAnsi="Arial"/>
                <w:sz w:val="18"/>
                <w:szCs w:val="18"/>
                <w:color w:val="auto"/>
              </w:rPr>
              <w:t>BankUnited, National Association</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The Bank</w:t>
            </w:r>
          </w:p>
        </w:tc>
        <w:tc>
          <w:tcPr>
            <w:tcW w:w="8540" w:type="dxa"/>
            <w:vAlign w:val="bottom"/>
          </w:tcPr>
          <w:p>
            <w:pPr>
              <w:ind w:left="740"/>
              <w:spacing w:after="0"/>
              <w:rPr>
                <w:sz w:val="20"/>
                <w:szCs w:val="20"/>
                <w:color w:val="auto"/>
              </w:rPr>
            </w:pPr>
            <w:r>
              <w:rPr>
                <w:rFonts w:ascii="Arial" w:cs="Arial" w:eastAsia="Arial" w:hAnsi="Arial"/>
                <w:sz w:val="18"/>
                <w:szCs w:val="18"/>
                <w:color w:val="auto"/>
              </w:rPr>
              <w:t>BankUnited, National Association</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Bridge</w:t>
            </w:r>
          </w:p>
        </w:tc>
        <w:tc>
          <w:tcPr>
            <w:tcW w:w="8540" w:type="dxa"/>
            <w:vAlign w:val="bottom"/>
          </w:tcPr>
          <w:p>
            <w:pPr>
              <w:ind w:left="740"/>
              <w:spacing w:after="0"/>
              <w:rPr>
                <w:sz w:val="20"/>
                <w:szCs w:val="20"/>
                <w:color w:val="auto"/>
              </w:rPr>
            </w:pPr>
            <w:r>
              <w:rPr>
                <w:rFonts w:ascii="Arial" w:cs="Arial" w:eastAsia="Arial" w:hAnsi="Arial"/>
                <w:sz w:val="18"/>
                <w:szCs w:val="18"/>
                <w:color w:val="auto"/>
              </w:rPr>
              <w:t>Bridge Funding Group, Inc.</w:t>
            </w: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0"/>
                <w:szCs w:val="20"/>
                <w:color w:val="auto"/>
              </w:rPr>
            </w:pPr>
            <w:r>
              <w:rPr>
                <w:rFonts w:ascii="Arial" w:cs="Arial" w:eastAsia="Arial" w:hAnsi="Arial"/>
                <w:sz w:val="18"/>
                <w:szCs w:val="18"/>
                <w:color w:val="auto"/>
              </w:rPr>
              <w:t>Buyout loans</w:t>
            </w:r>
          </w:p>
        </w:tc>
        <w:tc>
          <w:tcPr>
            <w:tcW w:w="8540" w:type="dxa"/>
            <w:vAlign w:val="bottom"/>
          </w:tcPr>
          <w:p>
            <w:pPr>
              <w:ind w:left="740"/>
              <w:spacing w:after="0"/>
              <w:rPr>
                <w:sz w:val="20"/>
                <w:szCs w:val="20"/>
                <w:color w:val="auto"/>
              </w:rPr>
            </w:pPr>
            <w:r>
              <w:rPr>
                <w:rFonts w:ascii="Arial" w:cs="Arial" w:eastAsia="Arial" w:hAnsi="Arial"/>
                <w:sz w:val="18"/>
                <w:szCs w:val="18"/>
                <w:color w:val="auto"/>
                <w:w w:val="91"/>
              </w:rPr>
              <w:t>FHA and VA insured mortgages from third party servicers who have exercised their right to purchase these</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8540" w:type="dxa"/>
            <w:vAlign w:val="bottom"/>
          </w:tcPr>
          <w:p>
            <w:pPr>
              <w:ind w:left="740"/>
              <w:spacing w:after="0"/>
              <w:rPr>
                <w:sz w:val="20"/>
                <w:szCs w:val="20"/>
                <w:color w:val="auto"/>
              </w:rPr>
            </w:pPr>
            <w:r>
              <w:rPr>
                <w:rFonts w:ascii="Arial" w:cs="Arial" w:eastAsia="Arial" w:hAnsi="Arial"/>
                <w:sz w:val="18"/>
                <w:szCs w:val="18"/>
                <w:color w:val="auto"/>
              </w:rPr>
              <w:t>loans out of GNMA securitizations</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CET1</w:t>
            </w:r>
          </w:p>
        </w:tc>
        <w:tc>
          <w:tcPr>
            <w:tcW w:w="8540" w:type="dxa"/>
            <w:vAlign w:val="bottom"/>
          </w:tcPr>
          <w:p>
            <w:pPr>
              <w:ind w:left="740"/>
              <w:spacing w:after="0"/>
              <w:rPr>
                <w:sz w:val="20"/>
                <w:szCs w:val="20"/>
                <w:color w:val="auto"/>
              </w:rPr>
            </w:pPr>
            <w:r>
              <w:rPr>
                <w:rFonts w:ascii="Arial" w:cs="Arial" w:eastAsia="Arial" w:hAnsi="Arial"/>
                <w:sz w:val="18"/>
                <w:szCs w:val="18"/>
                <w:color w:val="auto"/>
              </w:rPr>
              <w:t>Common Equity Tier 1 capital</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CECL</w:t>
            </w:r>
          </w:p>
        </w:tc>
        <w:tc>
          <w:tcPr>
            <w:tcW w:w="8540" w:type="dxa"/>
            <w:vAlign w:val="bottom"/>
          </w:tcPr>
          <w:p>
            <w:pPr>
              <w:ind w:left="740"/>
              <w:spacing w:after="0"/>
              <w:rPr>
                <w:sz w:val="20"/>
                <w:szCs w:val="20"/>
                <w:color w:val="auto"/>
              </w:rPr>
            </w:pPr>
            <w:r>
              <w:rPr>
                <w:rFonts w:ascii="Arial" w:cs="Arial" w:eastAsia="Arial" w:hAnsi="Arial"/>
                <w:sz w:val="18"/>
                <w:szCs w:val="18"/>
                <w:color w:val="auto"/>
              </w:rPr>
              <w:t>Current expected credit loss</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CME</w:t>
            </w:r>
          </w:p>
        </w:tc>
        <w:tc>
          <w:tcPr>
            <w:tcW w:w="8540" w:type="dxa"/>
            <w:vAlign w:val="bottom"/>
          </w:tcPr>
          <w:p>
            <w:pPr>
              <w:ind w:left="740"/>
              <w:spacing w:after="0"/>
              <w:rPr>
                <w:sz w:val="20"/>
                <w:szCs w:val="20"/>
                <w:color w:val="auto"/>
              </w:rPr>
            </w:pPr>
            <w:r>
              <w:rPr>
                <w:rFonts w:ascii="Arial" w:cs="Arial" w:eastAsia="Arial" w:hAnsi="Arial"/>
                <w:sz w:val="18"/>
                <w:szCs w:val="18"/>
                <w:color w:val="auto"/>
              </w:rPr>
              <w:t>Chicago Mercantile Exchange</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CLOs</w:t>
            </w:r>
          </w:p>
        </w:tc>
        <w:tc>
          <w:tcPr>
            <w:tcW w:w="8540" w:type="dxa"/>
            <w:vAlign w:val="bottom"/>
          </w:tcPr>
          <w:p>
            <w:pPr>
              <w:ind w:left="740"/>
              <w:spacing w:after="0"/>
              <w:rPr>
                <w:sz w:val="20"/>
                <w:szCs w:val="20"/>
                <w:color w:val="auto"/>
              </w:rPr>
            </w:pPr>
            <w:r>
              <w:rPr>
                <w:rFonts w:ascii="Arial" w:cs="Arial" w:eastAsia="Arial" w:hAnsi="Arial"/>
                <w:sz w:val="18"/>
                <w:szCs w:val="18"/>
                <w:color w:val="auto"/>
              </w:rPr>
              <w:t>Collateralized loan obligations</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CMOs</w:t>
            </w:r>
          </w:p>
        </w:tc>
        <w:tc>
          <w:tcPr>
            <w:tcW w:w="8540" w:type="dxa"/>
            <w:vAlign w:val="bottom"/>
          </w:tcPr>
          <w:p>
            <w:pPr>
              <w:ind w:left="740"/>
              <w:spacing w:after="0"/>
              <w:rPr>
                <w:sz w:val="20"/>
                <w:szCs w:val="20"/>
                <w:color w:val="auto"/>
              </w:rPr>
            </w:pPr>
            <w:r>
              <w:rPr>
                <w:rFonts w:ascii="Arial" w:cs="Arial" w:eastAsia="Arial" w:hAnsi="Arial"/>
                <w:sz w:val="18"/>
                <w:szCs w:val="18"/>
                <w:color w:val="auto"/>
              </w:rPr>
              <w:t>Collateralized mortgage obligations</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Covered assets</w:t>
            </w:r>
          </w:p>
        </w:tc>
        <w:tc>
          <w:tcPr>
            <w:tcW w:w="8540" w:type="dxa"/>
            <w:vAlign w:val="bottom"/>
          </w:tcPr>
          <w:p>
            <w:pPr>
              <w:ind w:left="740"/>
              <w:spacing w:after="0"/>
              <w:rPr>
                <w:sz w:val="20"/>
                <w:szCs w:val="20"/>
                <w:color w:val="auto"/>
              </w:rPr>
            </w:pPr>
            <w:r>
              <w:rPr>
                <w:rFonts w:ascii="Arial" w:cs="Arial" w:eastAsia="Arial" w:hAnsi="Arial"/>
                <w:sz w:val="18"/>
                <w:szCs w:val="18"/>
                <w:color w:val="auto"/>
              </w:rPr>
              <w:t>Assets covered under the Loss Sharing Agreements</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Covered loans</w:t>
            </w:r>
          </w:p>
        </w:tc>
        <w:tc>
          <w:tcPr>
            <w:tcW w:w="8540" w:type="dxa"/>
            <w:vAlign w:val="bottom"/>
          </w:tcPr>
          <w:p>
            <w:pPr>
              <w:ind w:left="740"/>
              <w:spacing w:after="0"/>
              <w:rPr>
                <w:sz w:val="20"/>
                <w:szCs w:val="20"/>
                <w:color w:val="auto"/>
              </w:rPr>
            </w:pPr>
            <w:r>
              <w:rPr>
                <w:rFonts w:ascii="Arial" w:cs="Arial" w:eastAsia="Arial" w:hAnsi="Arial"/>
                <w:sz w:val="18"/>
                <w:szCs w:val="18"/>
                <w:color w:val="auto"/>
              </w:rPr>
              <w:t>Loans covered under the Loss Sharing Agreements</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EPS</w:t>
            </w:r>
          </w:p>
        </w:tc>
        <w:tc>
          <w:tcPr>
            <w:tcW w:w="8540" w:type="dxa"/>
            <w:vAlign w:val="bottom"/>
          </w:tcPr>
          <w:p>
            <w:pPr>
              <w:ind w:left="740"/>
              <w:spacing w:after="0"/>
              <w:rPr>
                <w:sz w:val="20"/>
                <w:szCs w:val="20"/>
                <w:color w:val="auto"/>
              </w:rPr>
            </w:pPr>
            <w:r>
              <w:rPr>
                <w:rFonts w:ascii="Arial" w:cs="Arial" w:eastAsia="Arial" w:hAnsi="Arial"/>
                <w:sz w:val="18"/>
                <w:szCs w:val="18"/>
                <w:color w:val="auto"/>
              </w:rPr>
              <w:t>Earnings per common share</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EVE</w:t>
            </w:r>
          </w:p>
        </w:tc>
        <w:tc>
          <w:tcPr>
            <w:tcW w:w="8540" w:type="dxa"/>
            <w:vAlign w:val="bottom"/>
          </w:tcPr>
          <w:p>
            <w:pPr>
              <w:ind w:left="740"/>
              <w:spacing w:after="0"/>
              <w:rPr>
                <w:sz w:val="20"/>
                <w:szCs w:val="20"/>
                <w:color w:val="auto"/>
              </w:rPr>
            </w:pPr>
            <w:r>
              <w:rPr>
                <w:rFonts w:ascii="Arial" w:cs="Arial" w:eastAsia="Arial" w:hAnsi="Arial"/>
                <w:sz w:val="18"/>
                <w:szCs w:val="18"/>
                <w:color w:val="auto"/>
              </w:rPr>
              <w:t>Economic value of equity</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FASB</w:t>
            </w:r>
          </w:p>
        </w:tc>
        <w:tc>
          <w:tcPr>
            <w:tcW w:w="8540" w:type="dxa"/>
            <w:vAlign w:val="bottom"/>
          </w:tcPr>
          <w:p>
            <w:pPr>
              <w:ind w:left="74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FDIA</w:t>
            </w:r>
          </w:p>
        </w:tc>
        <w:tc>
          <w:tcPr>
            <w:tcW w:w="8540" w:type="dxa"/>
            <w:vAlign w:val="bottom"/>
          </w:tcPr>
          <w:p>
            <w:pPr>
              <w:ind w:left="740"/>
              <w:spacing w:after="0"/>
              <w:rPr>
                <w:sz w:val="20"/>
                <w:szCs w:val="20"/>
                <w:color w:val="auto"/>
              </w:rPr>
            </w:pPr>
            <w:r>
              <w:rPr>
                <w:rFonts w:ascii="Arial" w:cs="Arial" w:eastAsia="Arial" w:hAnsi="Arial"/>
                <w:sz w:val="18"/>
                <w:szCs w:val="18"/>
                <w:color w:val="auto"/>
              </w:rPr>
              <w:t>Federal Deposit Insurance Act</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FDIC</w:t>
            </w:r>
          </w:p>
        </w:tc>
        <w:tc>
          <w:tcPr>
            <w:tcW w:w="8540" w:type="dxa"/>
            <w:vAlign w:val="bottom"/>
          </w:tcPr>
          <w:p>
            <w:pPr>
              <w:ind w:left="740"/>
              <w:spacing w:after="0"/>
              <w:rPr>
                <w:sz w:val="20"/>
                <w:szCs w:val="20"/>
                <w:color w:val="auto"/>
              </w:rPr>
            </w:pPr>
            <w:r>
              <w:rPr>
                <w:rFonts w:ascii="Arial" w:cs="Arial" w:eastAsia="Arial" w:hAnsi="Arial"/>
                <w:sz w:val="18"/>
                <w:szCs w:val="18"/>
                <w:color w:val="auto"/>
              </w:rPr>
              <w:t>Federal Deposit Insurance Corporation</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FHLB</w:t>
            </w:r>
          </w:p>
        </w:tc>
        <w:tc>
          <w:tcPr>
            <w:tcW w:w="8540" w:type="dxa"/>
            <w:vAlign w:val="bottom"/>
          </w:tcPr>
          <w:p>
            <w:pPr>
              <w:ind w:left="740"/>
              <w:spacing w:after="0"/>
              <w:rPr>
                <w:sz w:val="20"/>
                <w:szCs w:val="20"/>
                <w:color w:val="auto"/>
              </w:rPr>
            </w:pPr>
            <w:r>
              <w:rPr>
                <w:rFonts w:ascii="Arial" w:cs="Arial" w:eastAsia="Arial" w:hAnsi="Arial"/>
                <w:sz w:val="18"/>
                <w:szCs w:val="18"/>
                <w:color w:val="auto"/>
              </w:rPr>
              <w:t>Federal Home Loan Bank</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FHA loan</w:t>
            </w:r>
          </w:p>
        </w:tc>
        <w:tc>
          <w:tcPr>
            <w:tcW w:w="8540" w:type="dxa"/>
            <w:vAlign w:val="bottom"/>
          </w:tcPr>
          <w:p>
            <w:pPr>
              <w:ind w:left="740"/>
              <w:spacing w:after="0"/>
              <w:rPr>
                <w:sz w:val="20"/>
                <w:szCs w:val="20"/>
                <w:color w:val="auto"/>
              </w:rPr>
            </w:pPr>
            <w:r>
              <w:rPr>
                <w:rFonts w:ascii="Arial" w:cs="Arial" w:eastAsia="Arial" w:hAnsi="Arial"/>
                <w:sz w:val="18"/>
                <w:szCs w:val="18"/>
                <w:color w:val="auto"/>
              </w:rPr>
              <w:t>Loan guaranteed by the Federal Housing Administration</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FICO</w:t>
            </w:r>
          </w:p>
        </w:tc>
        <w:tc>
          <w:tcPr>
            <w:tcW w:w="8540" w:type="dxa"/>
            <w:vAlign w:val="bottom"/>
          </w:tcPr>
          <w:p>
            <w:pPr>
              <w:ind w:left="740"/>
              <w:spacing w:after="0"/>
              <w:rPr>
                <w:sz w:val="20"/>
                <w:szCs w:val="20"/>
                <w:color w:val="auto"/>
              </w:rPr>
            </w:pPr>
            <w:r>
              <w:rPr>
                <w:rFonts w:ascii="Arial" w:cs="Arial" w:eastAsia="Arial" w:hAnsi="Arial"/>
                <w:sz w:val="18"/>
                <w:szCs w:val="18"/>
                <w:color w:val="auto"/>
              </w:rPr>
              <w:t>Fair Isaac Corporation (credit score)</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FNMA</w:t>
            </w:r>
          </w:p>
        </w:tc>
        <w:tc>
          <w:tcPr>
            <w:tcW w:w="8540" w:type="dxa"/>
            <w:vAlign w:val="bottom"/>
          </w:tcPr>
          <w:p>
            <w:pPr>
              <w:ind w:left="740"/>
              <w:spacing w:after="0"/>
              <w:rPr>
                <w:sz w:val="20"/>
                <w:szCs w:val="20"/>
                <w:color w:val="auto"/>
              </w:rPr>
            </w:pPr>
            <w:r>
              <w:rPr>
                <w:rFonts w:ascii="Arial" w:cs="Arial" w:eastAsia="Arial" w:hAnsi="Arial"/>
                <w:sz w:val="18"/>
                <w:szCs w:val="18"/>
                <w:color w:val="auto"/>
              </w:rPr>
              <w:t>Federal National Mortgage Association</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FRB</w:t>
            </w:r>
          </w:p>
        </w:tc>
        <w:tc>
          <w:tcPr>
            <w:tcW w:w="8540" w:type="dxa"/>
            <w:vAlign w:val="bottom"/>
          </w:tcPr>
          <w:p>
            <w:pPr>
              <w:ind w:left="740"/>
              <w:spacing w:after="0"/>
              <w:rPr>
                <w:sz w:val="20"/>
                <w:szCs w:val="20"/>
                <w:color w:val="auto"/>
              </w:rPr>
            </w:pPr>
            <w:r>
              <w:rPr>
                <w:rFonts w:ascii="Arial" w:cs="Arial" w:eastAsia="Arial" w:hAnsi="Arial"/>
                <w:sz w:val="18"/>
                <w:szCs w:val="18"/>
                <w:color w:val="auto"/>
              </w:rPr>
              <w:t>Federal Reserve Bank</w:t>
            </w: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0"/>
                <w:szCs w:val="20"/>
                <w:color w:val="auto"/>
              </w:rPr>
            </w:pPr>
            <w:r>
              <w:rPr>
                <w:rFonts w:ascii="Arial" w:cs="Arial" w:eastAsia="Arial" w:hAnsi="Arial"/>
                <w:sz w:val="18"/>
                <w:szCs w:val="18"/>
                <w:color w:val="auto"/>
              </w:rPr>
              <w:t>FSB Acquisition</w:t>
            </w:r>
          </w:p>
        </w:tc>
        <w:tc>
          <w:tcPr>
            <w:tcW w:w="8540" w:type="dxa"/>
            <w:vAlign w:val="bottom"/>
          </w:tcPr>
          <w:p>
            <w:pPr>
              <w:ind w:left="740"/>
              <w:spacing w:after="0"/>
              <w:rPr>
                <w:sz w:val="20"/>
                <w:szCs w:val="20"/>
                <w:color w:val="auto"/>
              </w:rPr>
            </w:pPr>
            <w:r>
              <w:rPr>
                <w:rFonts w:ascii="Arial" w:cs="Arial" w:eastAsia="Arial" w:hAnsi="Arial"/>
                <w:sz w:val="18"/>
                <w:szCs w:val="18"/>
                <w:color w:val="auto"/>
                <w:w w:val="99"/>
              </w:rPr>
              <w:t>Acquisition of substantially all of the assets and assumption of all of the non-brokered deposits and</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8540" w:type="dxa"/>
            <w:vAlign w:val="bottom"/>
          </w:tcPr>
          <w:p>
            <w:pPr>
              <w:ind w:left="740"/>
              <w:spacing w:after="0"/>
              <w:rPr>
                <w:sz w:val="20"/>
                <w:szCs w:val="20"/>
                <w:color w:val="auto"/>
              </w:rPr>
            </w:pPr>
            <w:r>
              <w:rPr>
                <w:rFonts w:ascii="Arial" w:cs="Arial" w:eastAsia="Arial" w:hAnsi="Arial"/>
                <w:sz w:val="18"/>
                <w:szCs w:val="18"/>
                <w:color w:val="auto"/>
              </w:rPr>
              <w:t>substantially all of the other liabilities of BankUnited, FSB from the FDIC on May 21, 2009</w:t>
            </w: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0"/>
                <w:szCs w:val="20"/>
                <w:color w:val="auto"/>
              </w:rPr>
            </w:pPr>
            <w:r>
              <w:rPr>
                <w:rFonts w:ascii="Arial" w:cs="Arial" w:eastAsia="Arial" w:hAnsi="Arial"/>
                <w:sz w:val="18"/>
                <w:szCs w:val="18"/>
                <w:color w:val="auto"/>
              </w:rPr>
              <w:t>FSB Loans</w:t>
            </w:r>
          </w:p>
        </w:tc>
        <w:tc>
          <w:tcPr>
            <w:tcW w:w="8540" w:type="dxa"/>
            <w:vAlign w:val="bottom"/>
          </w:tcPr>
          <w:p>
            <w:pPr>
              <w:ind w:left="740"/>
              <w:spacing w:after="0"/>
              <w:rPr>
                <w:sz w:val="20"/>
                <w:szCs w:val="20"/>
                <w:color w:val="auto"/>
              </w:rPr>
            </w:pPr>
            <w:r>
              <w:rPr>
                <w:rFonts w:ascii="Arial" w:cs="Arial" w:eastAsia="Arial" w:hAnsi="Arial"/>
                <w:sz w:val="18"/>
                <w:szCs w:val="18"/>
                <w:color w:val="auto"/>
                <w:w w:val="92"/>
              </w:rPr>
              <w:t>1-4 single family residential loans acquired in the FSB Acquisition that were formally covered by the Single</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8540" w:type="dxa"/>
            <w:vAlign w:val="bottom"/>
          </w:tcPr>
          <w:p>
            <w:pPr>
              <w:ind w:left="740"/>
              <w:spacing w:after="0"/>
              <w:rPr>
                <w:sz w:val="20"/>
                <w:szCs w:val="20"/>
                <w:color w:val="auto"/>
              </w:rPr>
            </w:pPr>
            <w:r>
              <w:rPr>
                <w:rFonts w:ascii="Arial" w:cs="Arial" w:eastAsia="Arial" w:hAnsi="Arial"/>
                <w:sz w:val="18"/>
                <w:szCs w:val="18"/>
                <w:color w:val="auto"/>
              </w:rPr>
              <w:t>Family Shared-Loss Agreement</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GAAP</w:t>
            </w:r>
          </w:p>
        </w:tc>
        <w:tc>
          <w:tcPr>
            <w:tcW w:w="8540" w:type="dxa"/>
            <w:vAlign w:val="bottom"/>
          </w:tcPr>
          <w:p>
            <w:pPr>
              <w:ind w:left="740"/>
              <w:spacing w:after="0"/>
              <w:rPr>
                <w:sz w:val="20"/>
                <w:szCs w:val="20"/>
                <w:color w:val="auto"/>
              </w:rPr>
            </w:pPr>
            <w:r>
              <w:rPr>
                <w:rFonts w:ascii="Arial" w:cs="Arial" w:eastAsia="Arial" w:hAnsi="Arial"/>
                <w:sz w:val="18"/>
                <w:szCs w:val="18"/>
                <w:color w:val="auto"/>
              </w:rPr>
              <w:t>U.S. generally accepted accounting principles</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GNMA</w:t>
            </w:r>
          </w:p>
        </w:tc>
        <w:tc>
          <w:tcPr>
            <w:tcW w:w="8540" w:type="dxa"/>
            <w:vAlign w:val="bottom"/>
          </w:tcPr>
          <w:p>
            <w:pPr>
              <w:ind w:left="740"/>
              <w:spacing w:after="0"/>
              <w:rPr>
                <w:sz w:val="20"/>
                <w:szCs w:val="20"/>
                <w:color w:val="auto"/>
              </w:rPr>
            </w:pPr>
            <w:r>
              <w:rPr>
                <w:rFonts w:ascii="Arial" w:cs="Arial" w:eastAsia="Arial" w:hAnsi="Arial"/>
                <w:sz w:val="18"/>
                <w:szCs w:val="18"/>
                <w:color w:val="auto"/>
              </w:rPr>
              <w:t>Government National Mortgage Association</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HTM</w:t>
            </w:r>
          </w:p>
        </w:tc>
        <w:tc>
          <w:tcPr>
            <w:tcW w:w="8540" w:type="dxa"/>
            <w:vAlign w:val="bottom"/>
          </w:tcPr>
          <w:p>
            <w:pPr>
              <w:ind w:left="740"/>
              <w:spacing w:after="0"/>
              <w:rPr>
                <w:sz w:val="20"/>
                <w:szCs w:val="20"/>
                <w:color w:val="auto"/>
              </w:rPr>
            </w:pPr>
            <w:r>
              <w:rPr>
                <w:rFonts w:ascii="Arial" w:cs="Arial" w:eastAsia="Arial" w:hAnsi="Arial"/>
                <w:sz w:val="18"/>
                <w:szCs w:val="18"/>
                <w:color w:val="auto"/>
              </w:rPr>
              <w:t>Held to maturity</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IPO</w:t>
            </w:r>
          </w:p>
        </w:tc>
        <w:tc>
          <w:tcPr>
            <w:tcW w:w="8540" w:type="dxa"/>
            <w:vAlign w:val="bottom"/>
          </w:tcPr>
          <w:p>
            <w:pPr>
              <w:ind w:left="740"/>
              <w:spacing w:after="0"/>
              <w:rPr>
                <w:sz w:val="20"/>
                <w:szCs w:val="20"/>
                <w:color w:val="auto"/>
              </w:rPr>
            </w:pPr>
            <w:r>
              <w:rPr>
                <w:rFonts w:ascii="Arial" w:cs="Arial" w:eastAsia="Arial" w:hAnsi="Arial"/>
                <w:sz w:val="18"/>
                <w:szCs w:val="18"/>
                <w:color w:val="auto"/>
              </w:rPr>
              <w:t>Initial public offering</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ISDA</w:t>
            </w:r>
          </w:p>
        </w:tc>
        <w:tc>
          <w:tcPr>
            <w:tcW w:w="8540" w:type="dxa"/>
            <w:vAlign w:val="bottom"/>
          </w:tcPr>
          <w:p>
            <w:pPr>
              <w:ind w:left="740"/>
              <w:spacing w:after="0"/>
              <w:rPr>
                <w:sz w:val="20"/>
                <w:szCs w:val="20"/>
                <w:color w:val="auto"/>
              </w:rPr>
            </w:pPr>
            <w:r>
              <w:rPr>
                <w:rFonts w:ascii="Arial" w:cs="Arial" w:eastAsia="Arial" w:hAnsi="Arial"/>
                <w:sz w:val="18"/>
                <w:szCs w:val="18"/>
                <w:color w:val="auto"/>
              </w:rPr>
              <w:t>International Swaps and Derivatives Association</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LIBOR</w:t>
            </w:r>
          </w:p>
        </w:tc>
        <w:tc>
          <w:tcPr>
            <w:tcW w:w="8540" w:type="dxa"/>
            <w:vAlign w:val="bottom"/>
          </w:tcPr>
          <w:p>
            <w:pPr>
              <w:ind w:left="74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70"/>
        </w:trPr>
        <w:tc>
          <w:tcPr>
            <w:tcW w:w="2580" w:type="dxa"/>
            <w:vAlign w:val="bottom"/>
          </w:tcPr>
          <w:p>
            <w:pPr>
              <w:spacing w:after="0"/>
              <w:rPr>
                <w:sz w:val="20"/>
                <w:szCs w:val="20"/>
                <w:color w:val="auto"/>
              </w:rPr>
            </w:pPr>
            <w:r>
              <w:rPr>
                <w:rFonts w:ascii="Arial" w:cs="Arial" w:eastAsia="Arial" w:hAnsi="Arial"/>
                <w:sz w:val="18"/>
                <w:szCs w:val="18"/>
                <w:color w:val="auto"/>
              </w:rPr>
              <w:t>Loss Sharing Agreements</w:t>
            </w:r>
          </w:p>
        </w:tc>
        <w:tc>
          <w:tcPr>
            <w:tcW w:w="8540" w:type="dxa"/>
            <w:vAlign w:val="bottom"/>
          </w:tcPr>
          <w:p>
            <w:pPr>
              <w:ind w:left="740"/>
              <w:spacing w:after="0"/>
              <w:rPr>
                <w:sz w:val="20"/>
                <w:szCs w:val="20"/>
                <w:color w:val="auto"/>
              </w:rPr>
            </w:pPr>
            <w:r>
              <w:rPr>
                <w:rFonts w:ascii="Arial" w:cs="Arial" w:eastAsia="Arial" w:hAnsi="Arial"/>
                <w:sz w:val="18"/>
                <w:szCs w:val="18"/>
                <w:color w:val="auto"/>
              </w:rPr>
              <w:t>Two loss sharing agreements entered into with the FDIC in connection with the FSB Acquisition</w:t>
            </w:r>
          </w:p>
        </w:tc>
        <w:tc>
          <w:tcPr>
            <w:tcW w:w="0" w:type="dxa"/>
            <w:vAlign w:val="bottom"/>
          </w:tcPr>
          <w:p>
            <w:pPr>
              <w:spacing w:after="0"/>
              <w:rPr>
                <w:sz w:val="1"/>
                <w:szCs w:val="1"/>
                <w:color w:val="auto"/>
              </w:rPr>
            </w:pPr>
          </w:p>
        </w:tc>
      </w:tr>
      <w:tr>
        <w:trPr>
          <w:trHeight w:val="756"/>
        </w:trPr>
        <w:tc>
          <w:tcPr>
            <w:tcW w:w="2580" w:type="dxa"/>
            <w:vAlign w:val="bottom"/>
          </w:tcPr>
          <w:p>
            <w:pPr>
              <w:spacing w:after="0"/>
              <w:rPr>
                <w:sz w:val="24"/>
                <w:szCs w:val="24"/>
                <w:color w:val="auto"/>
              </w:rPr>
            </w:pPr>
          </w:p>
        </w:tc>
        <w:tc>
          <w:tcPr>
            <w:tcW w:w="8540" w:type="dxa"/>
            <w:vAlign w:val="bottom"/>
          </w:tcPr>
          <w:p>
            <w:pPr>
              <w:ind w:left="320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bl>
    <w:p>
      <w:pPr>
        <w:sectPr>
          <w:pgSz w:w="11900" w:h="16838" w:orient="portrait"/>
          <w:cols w:equalWidth="0" w:num="1">
            <w:col w:w="11120"/>
          </w:cols>
          <w:pgMar w:left="280" w:top="364"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LTV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MBS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Non-Covered Loans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OCI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OCC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OREO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OTTI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PSU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Pinnacle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ROU Asset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RSU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SBA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SBF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Single Family Shared-Loss Agreement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TDR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Tri-State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UPB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VA loan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Loan-to-value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Mortgage-backed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Loans other than those covered under the Loss Sharing Agreements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Comptroller of the Currency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real estate owned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Other-than-temporary impairment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Pinnacle Public Finance,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 Small Business Administration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Small Business Finance Unit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 single-family loan shared-loss agreement entered into with the FDIC in connection with the FSB Acquisition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Troubled-debt restructuring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York, New Jersey and Connecticut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Unpaid principal balance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Loan guaranteed by the U.S. Department of Veterans Affairs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Variable interest entities</w:t>
      </w:r>
    </w:p>
    <w:p>
      <w:pPr>
        <w:spacing w:after="0" w:line="200" w:lineRule="exact"/>
        <w:rPr>
          <w:sz w:val="20"/>
          <w:szCs w:val="20"/>
          <w:color w:val="auto"/>
        </w:rPr>
      </w:pPr>
    </w:p>
    <w:p>
      <w:pPr>
        <w:sectPr>
          <w:pgSz w:w="11900" w:h="16838" w:orient="portrait"/>
          <w:cols w:equalWidth="0" w:num="2">
            <w:col w:w="2800" w:space="520"/>
            <w:col w:w="8020"/>
          </w:cols>
          <w:pgMar w:left="280" w:top="66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40"/>
          </w:cols>
          <w:pgMar w:left="280" w:top="665" w:right="27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36"/>
        </w:trPr>
        <w:tc>
          <w:tcPr>
            <w:tcW w:w="8800" w:type="dxa"/>
            <w:vAlign w:val="bottom"/>
            <w:tcBorders>
              <w:bottom w:val="single" w:sz="8" w:color="CCEEFF"/>
            </w:tcBorders>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due from banks: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Non-interest bearing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Interest bearing</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224,981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372,681</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382,073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 securities (including securities recorded at fair value of $8,364,624 and $8,156,878)</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8,374,624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8,166,878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Non-marketable 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276,827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267,052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36,992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(including covered loans of $201,376 at December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22,358,817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21,977,008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Allowance for loan and lease losses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(109,931)</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22,244,114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21,867,077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Bank owned life insurance</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272,805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263,340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under operating lease,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702,354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 and other intangible assets</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77,707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77,718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476,509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400,842</w:t>
            </w:r>
          </w:p>
        </w:tc>
      </w:tr>
      <w:tr>
        <w:trPr>
          <w:trHeight w:val="297"/>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32,702,976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32,164,326</w:t>
            </w:r>
          </w:p>
        </w:tc>
      </w:tr>
      <w:tr>
        <w:trPr>
          <w:trHeight w:val="271"/>
        </w:trPr>
        <w:tc>
          <w:tcPr>
            <w:tcW w:w="8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8800" w:type="dxa"/>
            <w:vAlign w:val="bottom"/>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Demand deposits: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Non-interest bearing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3,764,713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3,621,254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Interest bearing</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1,761,575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1,771,465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Savings and money market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11,386,119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11,261,746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Time</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6,766,876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6,819,758</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deposits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23,679,283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23,474,223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Federal funds purchased</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175,000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Home Loan Bank advances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5,026,000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4,796,000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Notes and other borrowings</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402,701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402,749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496,602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392,521</w:t>
            </w: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29,779,586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29,240,493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8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8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par value $0.01 per share, 400,000,000 shares authorized; 98,404,303 and 99,141,374 shares issued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and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1,179,235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1,220,147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1,742,530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1,697,822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4,873</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2,923,390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2,923,833</w:t>
            </w:r>
          </w:p>
        </w:tc>
      </w:tr>
      <w:tr>
        <w:trPr>
          <w:trHeight w:val="25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32,702,976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32,164,326</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64" w:right="239" w:bottom="1440" w:gutter="0" w:footer="0" w:header="0"/>
        </w:sectPr>
      </w:pP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263"/>
        </w:trPr>
        <w:tc>
          <w:tcPr>
            <w:tcW w:w="8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Interest income:</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240,632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274,000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Investment securities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76,345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49,985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3,791</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interest income</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321,829</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327,776</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Interest expense: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Deposits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97,421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56,361</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Borrowings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33,507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23,606</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interest expense</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130,928</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79,967</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interest income before provision for loan losses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190,901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247,809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Provision for loan losses (including $273 for covered loans for the three months ended March 31, 2018)</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10,281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3,147</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interest income after provision for loan losses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180,620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244,662</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resolution of covered assets, net</w:t>
            </w: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loss on FDIC indemnification</w:t>
            </w:r>
          </w:p>
        </w:tc>
        <w:tc>
          <w:tcPr>
            <w:tcW w:w="9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(3,615)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Deposit service charges and fees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w w:val="98"/>
              </w:rPr>
              <w:t>Gain on sale of loans, net (including $1,703 related to covered loans for the three months ended March 31, 2018)</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2,936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3,501</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investment securities, net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Lease financing</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17,186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14,102</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non-interest income</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6,830</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non-interest income</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36,255</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27,986</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Non-interest expense: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Employee compensation and benefits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65,233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67,036</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Occupancy and equipment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13,166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Amortization of FDIC indemnification asset</w:t>
            </w:r>
          </w:p>
        </w:tc>
        <w:tc>
          <w:tcPr>
            <w:tcW w:w="9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40,347</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Deposit insurance expense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4,041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7,871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2,875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Technology and telecommunications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11,168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Depreciation of equipment under operating lease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11,812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9,316</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non-interest expense</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13,399</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14,914</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non-interest expense</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126,690</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161,817</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90,185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110,831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24,213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25,596</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65,972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85,235</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common share, basic</w:t>
            </w: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0.78</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 diluted</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BANKUNITED, INC. AND SUBSIDIARIES CONSOLIDATED STATEMENTS OF COMPREHENSIVE INCOME - UNAUDITED (In thousands)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r>
      <w:tr>
        <w:trPr>
          <w:trHeight w:val="297"/>
        </w:trPr>
        <w:tc>
          <w:tcPr>
            <w:tcW w:w="7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85,235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on investment securities available for sale: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unrealized holding gain (loss) arising during the period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21,617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(27,324)</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 for net securities (gains) losses realized in income</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Net change in unrealized gain on securities available for sale</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18,444</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(28,041)</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losses on derivative instruments: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Net unrealized holding gain (loss) arising during the period</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(20,675)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19,793</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 for net (gains) losses realized in income</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Net change in unrealized loss on derivative instruments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(22,676)</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20,483</w:t>
            </w: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61,740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77,677</w:t>
            </w: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BANKUNITED,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6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65,972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85,235</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Amortization and accretion, net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(34,053)</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loan losses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Income from resolution of covered assets, net</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(3,317)</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on FDIC indemnification</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Gain on sale of loans, net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(3,501)</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investment securities,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Equity based compensation</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6,473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6,783</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13,320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loans held for sale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25,407</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Loans originated for sale, net of repayments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(27,177)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(36,730)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600"/>
              <w:spacing w:after="0"/>
              <w:rPr>
                <w:sz w:val="20"/>
                <w:szCs w:val="20"/>
                <w:color w:val="auto"/>
              </w:rPr>
            </w:pPr>
            <w:r>
              <w:rPr>
                <w:rFonts w:ascii="Arial" w:cs="Arial" w:eastAsia="Arial" w:hAnsi="Arial"/>
                <w:sz w:val="18"/>
                <w:szCs w:val="18"/>
                <w:color w:val="auto"/>
              </w:rPr>
              <w:t>Decrease in other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5,246</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(decrease) in other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(70,599)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57,674</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88,519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138,094</w:t>
            </w: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investment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(1,169,104)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(637,171)</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Proceeds from repayments and calls of investment securities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273,112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272,360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investment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775,723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266,930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 of non-marketable equity securities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(88,188)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(64,813)</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redemption of non-marketable equity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80,750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Purchases of loans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(305,354)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(332,966)</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 originations, repayments and resolutions,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289,823</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Proceeds from sale of loans, net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8,334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62,185</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equipment under operating lease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13,405</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Acquisition of equipment under operating lease</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(22,400)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(14,035)</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(12,937)</w:t>
            </w: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(609,497)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(76,469)</w:t>
            </w: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(Continued)</w:t>
            </w:r>
          </w:p>
        </w:tc>
      </w:tr>
      <w:tr>
        <w:trPr>
          <w:trHeight w:val="27"/>
        </w:trPr>
        <w:tc>
          <w:tcPr>
            <w:tcW w:w="7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8" w:name="page9"/>
    <w:bookmarkEnd w:id="8"/>
    <w:p>
      <w:pPr>
        <w:jc w:val="center"/>
        <w:ind w:left="260" w:right="2480"/>
        <w:spacing w:after="0" w:line="275" w:lineRule="auto"/>
        <w:rPr>
          <w:sz w:val="20"/>
          <w:szCs w:val="20"/>
          <w:color w:val="auto"/>
        </w:rPr>
      </w:pPr>
      <w:r>
        <w:rPr>
          <w:rFonts w:ascii="Arial" w:cs="Arial" w:eastAsia="Arial" w:hAnsi="Arial"/>
          <w:sz w:val="18"/>
          <w:szCs w:val="18"/>
          <w:b w:val="1"/>
          <w:bCs w:val="1"/>
          <w:color w:val="auto"/>
        </w:rPr>
        <w:t>BANKUNITED, INC. AND SUBSIDIARIES CONSOLIDATED STATEMENTS OF CASH FLOWS - UNAUDITED (Continued) (In thousands)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0" w:type="dxa"/>
            <w:vAlign w:val="bottom"/>
            <w:tcBorders>
              <w:bottom w:val="single" w:sz="8" w:color="CCEEFF"/>
            </w:tcBorders>
          </w:tcPr>
          <w:p>
            <w:pPr>
              <w:spacing w:after="0"/>
              <w:rPr>
                <w:sz w:val="22"/>
                <w:szCs w:val="22"/>
                <w:color w:val="auto"/>
              </w:rPr>
            </w:pPr>
          </w:p>
        </w:tc>
        <w:tc>
          <w:tcPr>
            <w:tcW w:w="384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23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236"/>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rPr>
              <w:t>Net increase in deposits</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205,060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361,169</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Additions to Federal Home Loan Bank advances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1,201,000</w:t>
            </w:r>
          </w:p>
        </w:tc>
      </w:tr>
      <w:tr>
        <w:trPr>
          <w:trHeight w:val="243"/>
        </w:trPr>
        <w:tc>
          <w:tcPr>
            <w:tcW w:w="40" w:type="dxa"/>
            <w:vAlign w:val="bottom"/>
          </w:tcPr>
          <w:p>
            <w:pPr>
              <w:spacing w:after="0"/>
              <w:rPr>
                <w:sz w:val="21"/>
                <w:szCs w:val="21"/>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rPr>
              <w:t>Repayments of Federal Home Loan Bank advances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(1,051,000)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(1,576,000)</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(23,055)</w:t>
            </w:r>
          </w:p>
        </w:tc>
      </w:tr>
      <w:tr>
        <w:trPr>
          <w:trHeight w:val="243"/>
        </w:trPr>
        <w:tc>
          <w:tcPr>
            <w:tcW w:w="40" w:type="dxa"/>
            <w:vAlign w:val="bottom"/>
          </w:tcPr>
          <w:p>
            <w:pPr>
              <w:spacing w:after="0"/>
              <w:rPr>
                <w:sz w:val="21"/>
                <w:szCs w:val="21"/>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rPr>
              <w:t>Repurchase of common stock</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(39,974)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(48,632)</w:t>
            </w:r>
          </w:p>
        </w:tc>
      </w:tr>
      <w:tr>
        <w:trPr>
          <w:trHeight w:val="27"/>
        </w:trPr>
        <w:tc>
          <w:tcPr>
            <w:tcW w:w="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financing activities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29,061</w:t>
            </w:r>
          </w:p>
        </w:tc>
      </w:tr>
      <w:tr>
        <w:trPr>
          <w:trHeight w:val="237"/>
        </w:trPr>
        <w:tc>
          <w:tcPr>
            <w:tcW w:w="40" w:type="dxa"/>
            <w:vAlign w:val="bottom"/>
          </w:tcPr>
          <w:p>
            <w:pPr>
              <w:spacing w:after="0"/>
              <w:rPr>
                <w:sz w:val="20"/>
                <w:szCs w:val="20"/>
                <w:color w:val="auto"/>
              </w:rPr>
            </w:pPr>
          </w:p>
        </w:tc>
        <w:tc>
          <w:tcPr>
            <w:tcW w:w="7620" w:type="dxa"/>
            <w:vAlign w:val="bottom"/>
            <w:gridSpan w:val="3"/>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380,356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(56,457)</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5,168</w:t>
            </w:r>
          </w:p>
        </w:tc>
      </w:tr>
      <w:tr>
        <w:trPr>
          <w:trHeight w:val="243"/>
        </w:trPr>
        <w:tc>
          <w:tcPr>
            <w:tcW w:w="766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382,073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194,582</w:t>
            </w:r>
          </w:p>
        </w:tc>
      </w:tr>
      <w:tr>
        <w:trPr>
          <w:trHeight w:val="27"/>
        </w:trPr>
        <w:tc>
          <w:tcPr>
            <w:tcW w:w="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241,451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199,750</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76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304"/>
        </w:trPr>
        <w:tc>
          <w:tcPr>
            <w:tcW w:w="40" w:type="dxa"/>
            <w:vAlign w:val="bottom"/>
            <w:tcBorders>
              <w:top w:val="single" w:sz="8" w:color="CCEEFF"/>
              <w:bottom w:val="single" w:sz="8" w:color="CCEEFF"/>
            </w:tcBorders>
          </w:tcPr>
          <w:p>
            <w:pPr>
              <w:spacing w:after="0"/>
              <w:rPr>
                <w:sz w:val="24"/>
                <w:szCs w:val="24"/>
                <w:color w:val="auto"/>
              </w:rPr>
            </w:pPr>
          </w:p>
        </w:tc>
        <w:tc>
          <w:tcPr>
            <w:tcW w:w="3840" w:type="dxa"/>
            <w:vAlign w:val="bottom"/>
            <w:tcBorders>
              <w:top w:val="single" w:sz="8" w:color="auto"/>
              <w:bottom w:val="single" w:sz="8" w:color="CCEEFF"/>
            </w:tcBorders>
          </w:tcPr>
          <w:p>
            <w:pPr>
              <w:ind w:left="140"/>
              <w:spacing w:after="0"/>
              <w:rPr>
                <w:sz w:val="20"/>
                <w:szCs w:val="20"/>
                <w:color w:val="auto"/>
              </w:rPr>
            </w:pPr>
            <w:r>
              <w:rPr>
                <w:rFonts w:ascii="Arial" w:cs="Arial" w:eastAsia="Arial" w:hAnsi="Arial"/>
                <w:sz w:val="18"/>
                <w:szCs w:val="18"/>
                <w:color w:val="auto"/>
              </w:rPr>
              <w:t>Interest paid</w:t>
            </w:r>
          </w:p>
        </w:tc>
        <w:tc>
          <w:tcPr>
            <w:tcW w:w="3780" w:type="dxa"/>
            <w:vAlign w:val="bottom"/>
            <w:tcBorders>
              <w:top w:val="single" w:sz="8" w:color="CCEEFF"/>
              <w:bottom w:val="single" w:sz="8" w:color="CCEEFF"/>
            </w:tcBorders>
            <w:gridSpan w:val="2"/>
          </w:tcPr>
          <w:p>
            <w:pPr>
              <w:spacing w:after="0"/>
              <w:rPr>
                <w:sz w:val="24"/>
                <w:szCs w:val="24"/>
                <w:color w:val="auto"/>
              </w:rPr>
            </w:pPr>
          </w:p>
        </w:tc>
        <w:tc>
          <w:tcPr>
            <w:tcW w:w="440" w:type="dxa"/>
            <w:vAlign w:val="bottom"/>
            <w:tcBorders>
              <w:top w:val="single" w:sz="8" w:color="CCEEFF"/>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CCEEFF"/>
              <w:bottom w:val="single" w:sz="8" w:color="auto"/>
            </w:tcBorders>
          </w:tcPr>
          <w:p>
            <w:pPr>
              <w:jc w:val="right"/>
              <w:ind w:right="12"/>
              <w:spacing w:after="0"/>
              <w:rPr>
                <w:sz w:val="20"/>
                <w:szCs w:val="20"/>
                <w:color w:val="auto"/>
              </w:rPr>
            </w:pPr>
            <w:r>
              <w:rPr>
                <w:rFonts w:ascii="Arial" w:cs="Arial" w:eastAsia="Arial" w:hAnsi="Arial"/>
                <w:sz w:val="18"/>
                <w:szCs w:val="18"/>
                <w:color w:val="auto"/>
              </w:rPr>
              <w:t>121,652</w:t>
            </w:r>
          </w:p>
        </w:tc>
        <w:tc>
          <w:tcPr>
            <w:tcW w:w="120" w:type="dxa"/>
            <w:vAlign w:val="bottom"/>
            <w:tcBorders>
              <w:top w:val="single" w:sz="8" w:color="CCEEFF"/>
              <w:bottom w:val="single" w:sz="8" w:color="CCEEFF"/>
            </w:tcBorders>
          </w:tcPr>
          <w:p>
            <w:pPr>
              <w:spacing w:after="0"/>
              <w:rPr>
                <w:sz w:val="24"/>
                <w:szCs w:val="24"/>
                <w:color w:val="auto"/>
              </w:rPr>
            </w:pPr>
          </w:p>
        </w:tc>
        <w:tc>
          <w:tcPr>
            <w:tcW w:w="440" w:type="dxa"/>
            <w:vAlign w:val="bottom"/>
            <w:tcBorders>
              <w:top w:val="single" w:sz="8" w:color="CCEEFF"/>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CCEEFF"/>
              <w:bottom w:val="single" w:sz="8" w:color="auto"/>
            </w:tcBorders>
          </w:tcPr>
          <w:p>
            <w:pPr>
              <w:jc w:val="right"/>
              <w:ind w:right="11"/>
              <w:spacing w:after="0"/>
              <w:rPr>
                <w:sz w:val="20"/>
                <w:szCs w:val="20"/>
                <w:color w:val="auto"/>
              </w:rPr>
            </w:pPr>
            <w:r>
              <w:rPr>
                <w:rFonts w:ascii="Arial" w:cs="Arial" w:eastAsia="Arial" w:hAnsi="Arial"/>
                <w:sz w:val="18"/>
                <w:szCs w:val="18"/>
                <w:color w:val="auto"/>
              </w:rPr>
              <w:t>73,906</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Income taxes paid,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18,092</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76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76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Transfers from loans to loans held for sale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69,559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Dividends declared, not paid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22,940</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7620" w:type="dxa"/>
            <w:vAlign w:val="bottom"/>
            <w:gridSpan w:val="3"/>
          </w:tcPr>
          <w:p>
            <w:pPr>
              <w:ind w:left="140"/>
              <w:spacing w:after="0"/>
              <w:rPr>
                <w:sz w:val="20"/>
                <w:szCs w:val="20"/>
                <w:color w:val="auto"/>
              </w:rPr>
            </w:pPr>
            <w:r>
              <w:rPr>
                <w:rFonts w:ascii="Arial" w:cs="Arial" w:eastAsia="Arial" w:hAnsi="Arial"/>
                <w:sz w:val="18"/>
                <w:szCs w:val="18"/>
                <w:color w:val="auto"/>
              </w:rPr>
              <w:t>Unsettled purchases of investment securities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47,760</w:t>
            </w: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9" w:name="page10"/>
    <w:bookmarkEnd w:id="9"/>
    <w:p>
      <w:pPr>
        <w:jc w:val="center"/>
        <w:ind w:left="260" w:right="2400"/>
        <w:spacing w:after="0" w:line="275" w:lineRule="auto"/>
        <w:rPr>
          <w:sz w:val="20"/>
          <w:szCs w:val="20"/>
          <w:color w:val="auto"/>
        </w:rPr>
      </w:pPr>
      <w:r>
        <w:rPr>
          <w:rFonts w:ascii="Arial" w:cs="Arial" w:eastAsia="Arial" w:hAnsi="Arial"/>
          <w:sz w:val="18"/>
          <w:szCs w:val="18"/>
          <w:b w:val="1"/>
          <w:bCs w:val="1"/>
          <w:color w:val="auto"/>
        </w:rPr>
        <w:t>BANKUNITED, INC. AND SUBSIDIARIES CONSOLIDATED STATEMENTS OF STOCKHOLDERS’ EQUITY - UNAUDITED (In thousands, except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2"/>
                <w:szCs w:val="1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1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Outstanding</w:t>
            </w:r>
          </w:p>
        </w:tc>
        <w:tc>
          <w:tcPr>
            <w:tcW w:w="26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99,141,374</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991</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1,220,147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1,697,822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2,923,833</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65,972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61,740</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($0.21 per common share)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(21,264)</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Equity based compensation</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563,970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5,083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5,089</w:t>
            </w: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Forfeiture of unvested shares and shares</w:t>
            </w: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surrendered for tax withholding</w:t>
            </w: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obligations</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(191,866)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(6,078)</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3,910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(1,113,085)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(39,963)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(39,974)</w:t>
            </w:r>
          </w:p>
        </w:tc>
        <w:tc>
          <w:tcPr>
            <w:tcW w:w="0" w:type="dxa"/>
            <w:vAlign w:val="bottom"/>
          </w:tcPr>
          <w:p>
            <w:pPr>
              <w:spacing w:after="0"/>
              <w:rPr>
                <w:sz w:val="1"/>
                <w:szCs w:val="1"/>
                <w:color w:val="auto"/>
              </w:rPr>
            </w:pPr>
          </w:p>
        </w:tc>
      </w:tr>
      <w:tr>
        <w:trPr>
          <w:trHeight w:val="283"/>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March 31, 2019</w:t>
            </w: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98,404,303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984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1,179,235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1,742,530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2,923,390</w:t>
            </w:r>
          </w:p>
        </w:tc>
        <w:tc>
          <w:tcPr>
            <w:tcW w:w="0" w:type="dxa"/>
            <w:vAlign w:val="bottom"/>
          </w:tcPr>
          <w:p>
            <w:pPr>
              <w:spacing w:after="0"/>
              <w:rPr>
                <w:sz w:val="1"/>
                <w:szCs w:val="1"/>
                <w:color w:val="auto"/>
              </w:rPr>
            </w:pPr>
          </w:p>
        </w:tc>
      </w:tr>
      <w:tr>
        <w:trPr>
          <w:trHeight w:val="264"/>
        </w:trPr>
        <w:tc>
          <w:tcPr>
            <w:tcW w:w="26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Balance at December 31, 2017</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106,848,185</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1,068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1,498,227</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1,471,781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54,986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3,026,062</w:t>
            </w: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Cumulative effect of adoption of new</w:t>
            </w: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accounting standards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85,235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77,677</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($0.21 per common share)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(22,940)</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Equity based compensation</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640,040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5,378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5,384</w:t>
            </w:r>
          </w:p>
        </w:tc>
        <w:tc>
          <w:tcPr>
            <w:tcW w:w="0" w:type="dxa"/>
            <w:vAlign w:val="bottom"/>
          </w:tcPr>
          <w:p>
            <w:pPr>
              <w:spacing w:after="0"/>
              <w:rPr>
                <w:sz w:val="1"/>
                <w:szCs w:val="1"/>
                <w:color w:val="auto"/>
              </w:rPr>
            </w:pPr>
          </w:p>
        </w:tc>
      </w:tr>
      <w:tr>
        <w:trPr>
          <w:trHeight w:val="163"/>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Forfeiture of unvested shares and shares</w:t>
            </w: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surrendered for tax withholding</w:t>
            </w: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obligations</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(167,534)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(5,971)</w:t>
            </w:r>
          </w:p>
        </w:tc>
        <w:tc>
          <w:tcPr>
            <w:tcW w:w="0" w:type="dxa"/>
            <w:vAlign w:val="bottom"/>
          </w:tcPr>
          <w:p>
            <w:pPr>
              <w:spacing w:after="0"/>
              <w:rPr>
                <w:sz w:val="1"/>
                <w:szCs w:val="1"/>
                <w:color w:val="auto"/>
              </w:rPr>
            </w:pPr>
          </w:p>
        </w:tc>
      </w:tr>
      <w:tr>
        <w:trPr>
          <w:trHeight w:val="264"/>
        </w:trPr>
        <w:tc>
          <w:tcPr>
            <w:tcW w:w="264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40,500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(1,200,440)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(48,632)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4"/>
                <w:szCs w:val="14"/>
                <w:color w:val="auto"/>
              </w:rPr>
              <w:t>Balance at March 31, 2018</w:t>
            </w: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106,160,751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1,450,107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1,525,174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56,330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3,032,672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Basis of Presentation and Summary of Significant Accounting Policies</w:t>
      </w:r>
    </w:p>
    <w:p>
      <w:pPr>
        <w:spacing w:after="0" w:line="31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BankUnited, Inc. is a national bank holding company with one wholly-owned subsidiary, BankUnited, collectively, the Company. BankUnited, a national banking association headquartered in Miami Lakes, Florida, provides a full range of banking and related services to individual and corporate customers through 80 banking centers located in 14 Florida counties and 5 banking centers located in the New York metropolitan area at March 31, 2019. The Bank also offers certain commercial lending and deposit products through national platforms.</w:t>
      </w:r>
    </w:p>
    <w:p>
      <w:pPr>
        <w:spacing w:after="0" w:line="24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the instructions to Form 10-Q and Article 10 of Regulation S-X of the SEC. Accordingly, these do not include all of the information and footnotes required for a fair presentation of financial position, results of operations and cash flows in conformity with GAAP and should be read in conjunction with the Company’s consolidated financial statements and the notes thereto appearing in BKU’s Annual Report on Form 10-K for the year ended December 31, 2018 filed with the SEC. In the opinion of management, all adjustments, consisting of normal recurring adjustments, considered necessary for a fair presentation have been included. Operating results for the three months ended March 31, 2019 are not necessarily indicative of the results that may be expected in future periods.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amounts presented for prior periods have been reclassified to conform to the current period presentation.</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27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In preparing the consolidated financial statements, management is required to make estimates and assumptions that affect the reported amounts of assets, liabilities, revenues, and expenses and disclosures of contingent assets and liabilities. Actual results could differ significantly from these estimates.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estimates include the ALLL and the fair values of investment securities and other financial instruments.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 Adopted During the Three Months Ended March 31, 2019</w:t>
      </w:r>
    </w:p>
    <w:p>
      <w:pPr>
        <w:spacing w:after="0" w:line="27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The amendments in this ASU, along with subsequent ASUs issued to clarify certain provisions of Topic 842, require a lessee to recognize in the statement of financial position a liability to make lease payments and a right-of-use asset representing its right to use the underlying asset for leases with terms longer than one year. Accounting applied by lessors was largely unchanged by this ASU. The ASU also requires both qualitative and quantitative disclosures that provide additional information about the amounts recorded in the consolidated financial statements. The amendments in this ASU were effective for the Company for interim and annual periods in fiscal years beginning after December 15, 2018. The most significant impact of adoption was the recognition, as lessee, of new right-of-use assets and lease liabilities on the Consolidated Balance Sheet for real estate leases classified as operating leases. Under a package of practical expedients that the Company elected, as lessee and lessor, the Company did not have to (i) re-assess whether expired or existing contracts contain leases, (ii) re-assess the classification of expired or existing leases, (iii) re-evaluate initial direct costs for existing leases or (iv) separate lease components of certain contracts from non-lease components. The Company also elected the transition method that allows entities the option of applying the provisions of the ASU at the effective date without adjusting the comparative periods presented. The Company adopted this ASU in the first quarter of 2019 using the modified retrospective transition method. The Company recognized a lease liability and related right of use asset of approximately $104 million and $95 million, respectively, upon adoption on January 1, 2019.</w:t>
      </w:r>
    </w:p>
    <w:p>
      <w:pPr>
        <w:spacing w:after="0" w:line="223"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 xml:space="preserve">ASU No. 2018-16, </w:t>
      </w:r>
      <w:r>
        <w:rPr>
          <w:rFonts w:ascii="Arial" w:cs="Arial" w:eastAsia="Arial" w:hAnsi="Arial"/>
          <w:sz w:val="16"/>
          <w:szCs w:val="16"/>
          <w:i w:val="1"/>
          <w:iCs w:val="1"/>
          <w:color w:val="auto"/>
        </w:rPr>
        <w:t>Derivatives and Hedging (Topic 815): Inclusion of the Secured Overnight Financing Rate (SOFR) Overnight Index Swap (OIS) Rate</w:t>
      </w:r>
      <w:r>
        <w:rPr>
          <w:rFonts w:ascii="Arial" w:cs="Arial" w:eastAsia="Arial" w:hAnsi="Arial"/>
          <w:sz w:val="16"/>
          <w:szCs w:val="16"/>
          <w:color w:val="auto"/>
        </w:rPr>
        <w:t xml:space="preserve"> </w:t>
      </w:r>
      <w:r>
        <w:rPr>
          <w:rFonts w:ascii="Arial" w:cs="Arial" w:eastAsia="Arial" w:hAnsi="Arial"/>
          <w:sz w:val="16"/>
          <w:szCs w:val="16"/>
          <w:i w:val="1"/>
          <w:iCs w:val="1"/>
          <w:color w:val="auto"/>
        </w:rPr>
        <w:t>as a Benchmark Interest Rate for Hedge Accounting Purposes</w:t>
      </w:r>
      <w:r>
        <w:rPr>
          <w:rFonts w:ascii="Arial" w:cs="Arial" w:eastAsia="Arial" w:hAnsi="Arial"/>
          <w:sz w:val="16"/>
          <w:szCs w:val="16"/>
          <w:color w:val="auto"/>
        </w:rPr>
        <w:t>. The ASU added the OIS rate based on SOFR as a benchmark interest rate for hedge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purposes. The ASU was effective for the Company for interim and annual periods in fiscal years beginning after December 15, 2018. The Company adopted this ASU in the first quarter of 2019 with no impact at adoption to its consolidated financial position, results of operations, or cash flows.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7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This ASU, along with subsequent ASUs issued to clarify certain of its provisions including ASU No. 2019-04 issued in April, 2019, introduces</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which makes substantive changes to the accounting</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256" w:right="239" w:bottom="1440" w:gutter="0" w:footer="0" w:header="0"/>
          <w:type w:val="continuous"/>
        </w:sectPr>
      </w:pPr>
    </w:p>
    <w:bookmarkStart w:id="11" w:name="page12"/>
    <w:bookmarkEnd w:id="1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for credit losses. The ASU introduces the CECL model which applies to financial assets subject to credit losses and measured at amortized cost, as well as certain off-balance sheet credit exposures. This includes loans, loan commitments, standby letters of credit, net investments in leases recognized by a lessor and HTM debt securities. The CECL model requires an entity to estimate credit losses expected over the life of an exposure, considering information about historical events, current conditions and reasonable and supportable forecasts, and is generally expected to result in earlier recognition of credit losses. The ASU also modifies certain provisions of the current OTTI model for AFS debt securities. Credit losses on AFS debt securities will be limited to the difference between the security's amortized cost basis and its fair value, and will be recognized through an allowance for credit losses rather than as a direct reduction in amortized cost basis. The ASU also provides for a simplified accounting model for purchased financial assets with more than insignificant credit deterioration since their origination. The ASU requires expanded disclosures including, but not limited to, (i) information about the methods and assumptions used to estimate expected credit losses, including changes in the factors that influenced management's estimate and the reasons for those changes, (ii) for financing receivables and net investment in leases measured at amortized cost, further disaggregation of information about the credit quality of those assets and (iii) a rollforward of the allowance for credit losses for AFS and HTM securities. The amendments in this ASU are effective for the Company for interim and annual periods in fiscal years beginning after December 15, 2019. Early adoption is permitted; however, the Company does not intend to early adopt this ASU. Management is in the process of evaluating the impact of adoption of this ASU on its consolidated financial statements, processes and controls and is not currently able to reasonably estimate the impact of adoption on the Company's consolidated financial position, results of operations or cash flows; however, adoption will lead to significant changes in accounting policies related to, and the methods employed in estimating, the ALLL. It is possible that the impact will be material to the Company's consolidated financial position and results of operations. To date, the Company has completed a gap analysis, adopted and is in the process of executing a detailed implementation plan, established a formal governance structure, selected and implemented credit loss models for key portfolio segments, chosen loss estimation methodologies for key portfolio segments, implemented a software solution to serve as its CECL platform, and initiated a "parallel run" of the CECL estimation process.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30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determines whether a contract is or contains a lease at inception. For leases with terms greater than twelve months under which the Company is lessee, ROU assets and lease liabilities are recorded at the commencement date. Lease liabilities are initially recorded based on the present value of future lease payments over the lease term. ROU assets are initially recorded at the amount of the associated lease liabilities plus prepaid lease payments and initial direct costs, less any lease incentives received. The cost of short term leases is recognized on a straight line basis over the lease term. The lease term includes options to extend if the exercise of those options is reasonably certain and includes termination options if there is reasonable certainty the options will not be exercised. Lease payments are discounted using the Company's FHLB borrowing rate for borrowings of a similar term unless an implicit rate is defined in the contract or is determinable, which is generally not the case. Leases are classified as financing or operating leases at commencement; generally, leases are classified as finance leases when effective control of the underlying asset is transferred. The substantial majority of leases under which the Company is lessee are classified as operating leases. For operating leases, lease cost is recognized in the Consolidated Statements of Income on a straight line basis over the lease terms. For finance leases, interest expense on lease liabilities is recognized on the effective interest method and amortization of ROU assets is recognized on a straight line basis over the lease terms. Variable lease costs are recognized in the period in which the obligation for those costs is incurred. The Company has elected not to separate lease from non-lease components of its lease contracts.</w:t>
      </w:r>
    </w:p>
    <w:p>
      <w:pPr>
        <w:spacing w:after="0" w:line="3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6"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Common Share</w:t>
      </w:r>
    </w:p>
    <w:p>
      <w:pPr>
        <w:spacing w:after="0" w:line="31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computation of basic and diluted earnings per common share is presented below for the periods indicated (in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5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Numerator:</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Distributed and undistributed earnings allocated to participating securities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(3,216)</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allocated to common stockholders for basic earnings per common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82,019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98,856,775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106,525,883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average unvested stock awards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(1,171,921)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(1,108,434)</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for basic earnings per common share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97,684,854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105,417,449</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0.78</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Numerator:</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stockholders for basic earnings per common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82,019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 for earnings reallocated from participating securities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used in calculating diluted earnings per common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82,030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for basic 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97,684,854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105,417,449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Dilutive effect of stock options and certain share-based awards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279,779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516,161</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for diluted earnings per common share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97,964,633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105,933,610</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0.77</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Included in participating securities above are unvested shares and 3,023,314 dividend equivalent rights outstanding at March 31, 2019 that were issued in conjunction with the IPO of the Company's common stock. These dividend equivalent rights expire in 2021 and participate in dividends on a one-for-one basis.</w:t>
      </w:r>
    </w:p>
    <w:p>
      <w:pPr>
        <w:spacing w:after="0" w:line="23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potentially dilutive securities were outstanding at March 31, 2019 and 2018 but excluded from the calculation of diluted earnings per common share for the periods indicated because their inclusion would have been anti-dilutive: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and share units</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1,218,840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9"/>
              </w:rPr>
              <w:t>1,614,379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 options and warrants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ind w:left="540"/>
              <w:spacing w:after="0"/>
              <w:rPr>
                <w:sz w:val="20"/>
                <w:szCs w:val="20"/>
                <w:color w:val="auto"/>
              </w:rPr>
            </w:pPr>
            <w:r>
              <w:rPr>
                <w:rFonts w:ascii="Arial" w:cs="Arial" w:eastAsia="Arial" w:hAnsi="Arial"/>
                <w:sz w:val="18"/>
                <w:szCs w:val="18"/>
                <w:color w:val="auto"/>
                <w:w w:val="99"/>
              </w:rPr>
              <w:t>1,850,279</w:t>
            </w: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256" w:right="239" w:bottom="1440" w:gutter="0" w:footer="0" w:header="0"/>
          <w:type w:val="continuous"/>
        </w:sectPr>
      </w:pPr>
    </w:p>
    <w:bookmarkStart w:id="13" w:name="page14"/>
    <w:bookmarkEnd w:id="1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Investment Securities</w:t>
      </w:r>
    </w:p>
    <w:p>
      <w:pPr>
        <w:spacing w:after="0" w:line="31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Investment securities include investment securities available for sale, marketable equity securities, and investment securities held to maturity. The investment securities portfolio consisted of the following at the dates indicated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 2019</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3"/>
        </w:trPr>
        <w:tc>
          <w:tcPr>
            <w:tcW w:w="4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jc w:val="right"/>
              <w:ind w:right="171"/>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22"/>
                <w:szCs w:val="22"/>
                <w:color w:val="auto"/>
              </w:rPr>
            </w:pPr>
          </w:p>
        </w:tc>
        <w:tc>
          <w:tcPr>
            <w:tcW w:w="1380" w:type="dxa"/>
            <w:vAlign w:val="bottom"/>
          </w:tcPr>
          <w:p>
            <w:pPr>
              <w:jc w:val="right"/>
              <w:ind w:right="91"/>
              <w:spacing w:after="0"/>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8"/>
                <w:szCs w:val="8"/>
                <w:b w:val="1"/>
                <w:bCs w:val="1"/>
                <w:color w:val="auto"/>
              </w:rPr>
              <w:t>(1)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Investment securities available for sale:</w:t>
            </w:r>
          </w:p>
        </w:tc>
        <w:tc>
          <w:tcPr>
            <w:tcW w:w="2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34,879</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34,890</w:t>
            </w:r>
          </w:p>
        </w:tc>
      </w:tr>
      <w:tr>
        <w:trPr>
          <w:trHeight w:val="229"/>
        </w:trPr>
        <w:tc>
          <w:tcPr>
            <w:tcW w:w="4920" w:type="dxa"/>
            <w:vAlign w:val="bottom"/>
          </w:tcPr>
          <w:p>
            <w:pPr>
              <w:ind w:left="180"/>
              <w:spacing w:after="0"/>
              <w:rPr>
                <w:sz w:val="20"/>
                <w:szCs w:val="20"/>
                <w:color w:val="auto"/>
              </w:rPr>
            </w:pPr>
            <w:r>
              <w:rPr>
                <w:rFonts w:ascii="Arial" w:cs="Arial" w:eastAsia="Arial" w:hAnsi="Arial"/>
                <w:sz w:val="18"/>
                <w:szCs w:val="18"/>
                <w:color w:val="auto"/>
                <w:w w:val="94"/>
              </w:rPr>
              <w:t>U.S. Government agency and sponsored enterprise residential</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920" w:type="dxa"/>
            <w:vAlign w:val="bottom"/>
          </w:tcPr>
          <w:p>
            <w:pPr>
              <w:ind w:left="340"/>
              <w:spacing w:after="0"/>
              <w:rPr>
                <w:sz w:val="20"/>
                <w:szCs w:val="20"/>
                <w:color w:val="auto"/>
              </w:rPr>
            </w:pPr>
            <w:r>
              <w:rPr>
                <w:rFonts w:ascii="Arial" w:cs="Arial" w:eastAsia="Arial" w:hAnsi="Arial"/>
                <w:sz w:val="18"/>
                <w:szCs w:val="18"/>
                <w:color w:val="auto"/>
              </w:rPr>
              <w:t>MBS</w:t>
            </w:r>
          </w:p>
        </w:tc>
        <w:tc>
          <w:tcPr>
            <w:tcW w:w="26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2,087,465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13,754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2,095,993</w:t>
            </w: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U.S. Government agency and sponsored enterprise commercial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MBS</w:t>
            </w: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437,854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439,331</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Private label residential MBS and CMOs</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1,625,348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16,094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1,633,398</w:t>
            </w: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label commercial MBS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1,477,465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1,481,482</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Single family rental real estate-backed securities</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413,318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414,884</w:t>
            </w: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Collateralized loan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1,230,643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1,220,225</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Non-mortgage asset-backed securities</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145,296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145,857</w:t>
            </w: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municipal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374,314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384,297</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SBA securities</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443,864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6,179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447,469</w:t>
            </w: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debt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4,818</w:t>
            </w:r>
          </w:p>
        </w:tc>
      </w:tr>
      <w:tr>
        <w:trPr>
          <w:trHeight w:val="297"/>
        </w:trPr>
        <w:tc>
          <w:tcPr>
            <w:tcW w:w="49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8,271,846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61,947</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(31,149)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8,302,644</w:t>
            </w:r>
          </w:p>
        </w:tc>
      </w:tr>
      <w:tr>
        <w:trPr>
          <w:trHeight w:val="23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equity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61,980</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Investment securities held to maturity</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8,343,826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8,374,624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56"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21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3"/>
        </w:trPr>
        <w:tc>
          <w:tcPr>
            <w:tcW w:w="21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jc w:val="right"/>
              <w:ind w:right="171"/>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22"/>
                <w:szCs w:val="22"/>
                <w:color w:val="auto"/>
              </w:rPr>
            </w:pPr>
          </w:p>
        </w:tc>
        <w:tc>
          <w:tcPr>
            <w:tcW w:w="1380" w:type="dxa"/>
            <w:vAlign w:val="bottom"/>
          </w:tcPr>
          <w:p>
            <w:pPr>
              <w:jc w:val="right"/>
              <w:ind w:right="91"/>
              <w:spacing w:after="0"/>
              <w:rPr>
                <w:sz w:val="20"/>
                <w:szCs w:val="20"/>
                <w:color w:val="auto"/>
              </w:rPr>
            </w:pPr>
            <w:r>
              <w:rPr>
                <w:rFonts w:ascii="Arial" w:cs="Arial" w:eastAsia="Arial" w:hAnsi="Arial"/>
                <w:sz w:val="14"/>
                <w:szCs w:val="14"/>
                <w:b w:val="1"/>
                <w:bCs w:val="1"/>
                <w:color w:val="auto"/>
              </w:rPr>
              <w:t xml:space="preserve">Carrying Value </w:t>
            </w:r>
            <w:r>
              <w:rPr>
                <w:rFonts w:ascii="Arial" w:cs="Arial" w:eastAsia="Arial" w:hAnsi="Arial"/>
                <w:sz w:val="8"/>
                <w:szCs w:val="8"/>
                <w:b w:val="1"/>
                <w:bCs w:val="1"/>
                <w:color w:val="auto"/>
              </w:rPr>
              <w:t>(1)</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Investment securities available for sale:</w:t>
            </w:r>
          </w:p>
        </w:tc>
        <w:tc>
          <w:tcPr>
            <w:tcW w:w="2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7"/>
        </w:trPr>
        <w:tc>
          <w:tcPr>
            <w:tcW w:w="2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39,885</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39,873</w:t>
            </w: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U.S. Government agency and sponsored enterprise residential</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MBS</w:t>
            </w:r>
          </w:p>
        </w:tc>
        <w:tc>
          <w:tcPr>
            <w:tcW w:w="26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1,885,302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16,580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1,897,474</w:t>
            </w:r>
          </w:p>
        </w:tc>
      </w:tr>
      <w:tr>
        <w:trPr>
          <w:trHeight w:val="27"/>
        </w:trPr>
        <w:tc>
          <w:tcPr>
            <w:tcW w:w="2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U.S. Government agency and sponsored enterprise commercial</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49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MBS</w:t>
            </w: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374,569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374,787</w:t>
            </w: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Private label residential MBS and CMOs</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1,539,058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10,138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1,534,198</w:t>
            </w:r>
          </w:p>
        </w:tc>
      </w:tr>
      <w:tr>
        <w:trPr>
          <w:trHeight w:val="27"/>
        </w:trPr>
        <w:tc>
          <w:tcPr>
            <w:tcW w:w="2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Private label commercial MBS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1,486,835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1,485,716</w:t>
            </w: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Single family rental real estate-backed securities</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406,310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402,458</w:t>
            </w:r>
          </w:p>
        </w:tc>
      </w:tr>
      <w:tr>
        <w:trPr>
          <w:trHeight w:val="27"/>
        </w:trPr>
        <w:tc>
          <w:tcPr>
            <w:tcW w:w="2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Collateralized loan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1,239,355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1,235,198</w:t>
            </w: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Non-mortgage asset-backed securities</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204,372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204,067</w:t>
            </w:r>
          </w:p>
        </w:tc>
      </w:tr>
      <w:tr>
        <w:trPr>
          <w:trHeight w:val="27"/>
        </w:trPr>
        <w:tc>
          <w:tcPr>
            <w:tcW w:w="2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 and municipal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398,810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398,429</w:t>
            </w: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SBA securities</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514,765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519,313</w:t>
            </w:r>
          </w:p>
        </w:tc>
      </w:tr>
      <w:tr>
        <w:trPr>
          <w:trHeight w:val="27"/>
        </w:trPr>
        <w:tc>
          <w:tcPr>
            <w:tcW w:w="2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debt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4,846</w:t>
            </w:r>
          </w:p>
        </w:tc>
      </w:tr>
      <w:tr>
        <w:trPr>
          <w:trHeight w:val="297"/>
        </w:trPr>
        <w:tc>
          <w:tcPr>
            <w:tcW w:w="216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8,090,654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49,030</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(43,325)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8,096,359</w:t>
            </w:r>
          </w:p>
        </w:tc>
      </w:tr>
      <w:tr>
        <w:trPr>
          <w:trHeight w:val="237"/>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Marketable equity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60,519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60,519</w:t>
            </w: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Investment securities held to maturity</w:t>
            </w:r>
          </w:p>
        </w:tc>
        <w:tc>
          <w:tcPr>
            <w:tcW w:w="2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216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216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8,161,173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8,166,878</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160" w:type="dxa"/>
            <w:vAlign w:val="bottom"/>
            <w:tcBorders>
              <w:bottom w:val="single" w:sz="8" w:color="auto"/>
            </w:tcBorders>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11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At fair value except for securities held to maturity.</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securities held to maturity at March 31, 2019 and December 31, 2018 consisted of one State of Israel bond maturing in 2024.</w:t>
      </w:r>
    </w:p>
    <w:p>
      <w:pPr>
        <w:spacing w:after="0" w:line="27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At March 31, 2019, contractual maturities of investment securities available for sale, adjusted for anticipated prepayments when applicable, were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853,102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858,326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4,244,326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4,252,774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years through ten years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2,739,544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2,751,940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434,874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439,604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8,271,846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8,302,644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carrying value of securities pledged as collateral for FHLB advances, public deposits, interest rate swaps and to secure borrowing capacity at the FRB totaled $2.2 billion and $2.1 billion at March 31, 2019 and December 31, 2018, respectively.</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56" w:right="239" w:bottom="1440" w:gutter="0" w:footer="0" w:header="0"/>
        </w:sectPr>
      </w:pPr>
    </w:p>
    <w:bookmarkStart w:id="15" w:name="page16"/>
    <w:bookmarkEnd w:id="1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gains and losses on investment securities for the periods indicated (in thousands):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securities available for sale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775,723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266,930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gains: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Investment securities available for sale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3,488</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losses: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Investment securities available for sale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(2,511)</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realized gain</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977</w:t>
            </w:r>
          </w:p>
        </w:tc>
      </w:tr>
      <w:tr>
        <w:trPr>
          <w:trHeight w:val="318"/>
        </w:trPr>
        <w:tc>
          <w:tcPr>
            <w:tcW w:w="88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gains (losses) on marketable equity securities recognized in earnings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324"/>
        </w:trPr>
        <w:tc>
          <w:tcPr>
            <w:tcW w:w="88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investment securities,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364</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The following tables present the aggregate fair value and the aggregate amount by which amortized cost exceeded fair value for investment securities available for sale in unrealized loss positions, aggregated by investment category and length of time that individual securities had been in continuous unrealized loss positions at the dates indicated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2019</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Less than 12 Months</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12 Months or Greater</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tcBorders>
              <w:bottom w:val="single" w:sz="8" w:color="auto"/>
            </w:tcBorders>
          </w:tcPr>
          <w:p>
            <w:pPr>
              <w:spacing w:after="0"/>
              <w:rPr>
                <w:sz w:val="22"/>
                <w:szCs w:val="22"/>
                <w:color w:val="auto"/>
              </w:rPr>
            </w:pPr>
          </w:p>
        </w:tc>
      </w:tr>
      <w:tr>
        <w:trPr>
          <w:trHeight w:val="264"/>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14,970</w:t>
            </w:r>
          </w:p>
        </w:tc>
        <w:tc>
          <w:tcPr>
            <w:tcW w:w="100" w:type="dxa"/>
            <w:vAlign w:val="bottom"/>
          </w:tcPr>
          <w:p>
            <w:pPr>
              <w:spacing w:after="0"/>
              <w:rPr>
                <w:sz w:val="21"/>
                <w:szCs w:val="21"/>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6"/>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14,970</w:t>
            </w:r>
          </w:p>
        </w:tc>
        <w:tc>
          <w:tcPr>
            <w:tcW w:w="560" w:type="dxa"/>
            <w:vAlign w:val="bottom"/>
            <w:gridSpan w:val="3"/>
          </w:tcPr>
          <w:p>
            <w:pPr>
              <w:jc w:val="right"/>
              <w:ind w:right="15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 residential MBS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834,444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148,726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983,170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(5,226)</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enterprise commercial MBS</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110,731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21,068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131,799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label residential MBS and CMOs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274,794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388,733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663,527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Private label commercial MBS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531,170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74,364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605,534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Single family rental real estate-backed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98,051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100,675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198,726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Collateralized loan obligations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1,000,974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(10,796)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1,000,974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(10,796)</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40,567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66,316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State and municipal obligations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29,108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SBA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106,738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74,100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180,838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r>
      <w:tr>
        <w:trPr>
          <w:trHeight w:val="237"/>
        </w:trPr>
        <w:tc>
          <w:tcPr>
            <w:tcW w:w="33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3,012,439</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(18,461)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903,090</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(12,688)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3,915,529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(31,149)</w:t>
            </w: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10"/>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46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Less than 12 Months</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12 Months or Greater</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tcBorders>
              <w:bottom w:val="single" w:sz="8" w:color="auto"/>
            </w:tcBorders>
          </w:tcPr>
          <w:p>
            <w:pPr>
              <w:spacing w:after="0"/>
              <w:rPr>
                <w:sz w:val="22"/>
                <w:szCs w:val="22"/>
                <w:color w:val="auto"/>
              </w:rPr>
            </w:pPr>
          </w:p>
        </w:tc>
      </w:tr>
      <w:tr>
        <w:trPr>
          <w:trHeight w:val="264"/>
        </w:trPr>
        <w:tc>
          <w:tcPr>
            <w:tcW w:w="3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Unrealized Losses</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14,921</w:t>
            </w:r>
          </w:p>
        </w:tc>
        <w:tc>
          <w:tcPr>
            <w:tcW w:w="100" w:type="dxa"/>
            <w:vAlign w:val="bottom"/>
          </w:tcPr>
          <w:p>
            <w:pPr>
              <w:spacing w:after="0"/>
              <w:rPr>
                <w:sz w:val="21"/>
                <w:szCs w:val="21"/>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14,921</w:t>
            </w:r>
          </w:p>
        </w:tc>
        <w:tc>
          <w:tcPr>
            <w:tcW w:w="560" w:type="dxa"/>
            <w:vAlign w:val="bottom"/>
            <w:gridSpan w:val="3"/>
          </w:tcPr>
          <w:p>
            <w:pPr>
              <w:jc w:val="right"/>
              <w:ind w:right="15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 residential MBS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450,666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87,311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537,977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U.S. Government agency and sponsored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enterprise commercial MBS</w:t>
            </w: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146,096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25,815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171,911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label residential MBS and CMOs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759,921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278,108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1,038,029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Private label commercial MBS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742,092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39,531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781,623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(6,140)</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Single family rental real estate-backed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234,305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85,282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319,587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Collateralized loan obligations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749,047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749,047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(5,217)</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Non-mortgage 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136,100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State and municipal obligations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208,971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46,247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255,218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SBA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215,975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247,456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r>
      <w:tr>
        <w:trPr>
          <w:trHeight w:val="237"/>
        </w:trPr>
        <w:tc>
          <w:tcPr>
            <w:tcW w:w="33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3,658,094</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(28,077)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593,775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4,251,869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(43,325)</w:t>
            </w: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 monitors its investment securities available for sale for OTTI on an individual security basis. No securities were determined to be other-than-temporarily impaired during the three months ended March 31, 2019 or 2018. The Company does not intend to sell securities that are in significant unrealized loss positions at March 31, 2019 and it is not more likely than not that the Company will be required to sell these securities before recovery of the amortized cost basis, which may be at maturity. At March 31, 2019, 191 securities were in unrealized loss positions. The amount of impairment related to 59 of these securities was considered insignificant both individually and in the aggregate, totaling approximately $628 thousand and no further analysis with respect to these securities was considered necessary. The basis for concluding that impairment of the remaining securities was not other-than-temporary is further described below.</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 Government agency and sponsored enterprise residential and commercial MBS</w:t>
      </w:r>
    </w:p>
    <w:p>
      <w:pPr>
        <w:spacing w:after="0" w:line="279"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At March 31, 2019, thirty-six U.S. Government agency and sponsored enterprise residential MBS and two U.S. Government agency and sponsored enterprise commercial MBS were in unrealized loss positions. Impairment of these securities was primarily attributable to increases in market interest rates subsequent to the date of acquisition. The timely payment of principal and interest on these securities is explicitly or implicitly guaranteed by the U.S. Government. Given the expectation of timely payment of principal and interest the impairments were considered to be temporary.</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label residential MBS and CMOs</w:t>
      </w:r>
    </w:p>
    <w:p>
      <w:pPr>
        <w:spacing w:after="0" w:line="27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At March 31, 2019, twenty-six private label residential MBS and CMOs were in unrealized loss positions, primarily as a result of an increase in medium and long-term market interest rates subsequent to acquisition. These securities were assessed for OTTI using credit and prepayment behavioral models that incorporate CUSIP level constant default rates, voluntary prepayment rates and loss severity and delinquency assumptions. The results of these assessments were not indicative of credit losses related to any of these securities as of March 31, 2019. Given the expectation of timely recovery of outstanding principal the impairments were considered to be temporary.</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label commercial MBS</w:t>
      </w:r>
    </w:p>
    <w:p>
      <w:pPr>
        <w:spacing w:after="0" w:line="27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At March 31, 2019, twenty-three private label commercial MBS were in unrealized loss positions, primarily as a result of an increase in market interest rates since acquisition. These securities were assessed for OTTI using credit and prepayment behavioral models incorporating assumptions consistent with the collateral characteristics of each security. The results of this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56" w:right="239" w:bottom="1440" w:gutter="0" w:footer="0" w:header="0"/>
          <w:type w:val="continuous"/>
        </w:sectPr>
      </w:pPr>
    </w:p>
    <w:bookmarkStart w:id="17" w:name="page18"/>
    <w:bookmarkEnd w:id="1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300" w:right="268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analysis were not indicative of expected credit losses. Given the expectation of timely recovery of outstanding principal the impairments were considered to be temporary.</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Single family rental real estate-backed securities</w:t>
      </w:r>
    </w:p>
    <w:p>
      <w:pPr>
        <w:spacing w:after="0" w:line="2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At March 31, 2019, ten single family rental real estate-backed securities were in unrealized loss positions. The unrealized losses were primarily due to increases in market interest rates since the purchase of the securities. Management's analysis of the credit characteristics, including loan-to-value and debt service coverage ratios, and levels of subordination for each of the securities is not indicative of projected credit losses. Given the absence of projected credit losses the impairments were considered to be temporary.</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Collateralized loan obligations:</w:t>
      </w:r>
    </w:p>
    <w:p>
      <w:pPr>
        <w:spacing w:after="0" w:line="27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At March 31, 2019, twenty-one collateralized loan obligations were in unrealized loss positions, primarily due to widening credit spreads for this asset class. These securities were assessed for OTTI using credit and prepayment behavioral models incorporating assumptions consistent with the collateral characteristics of each security. The results of this analysis were not indicative of expected credit losses. Given the expectation of timely recovery of outstanding principal, the impairments were considered to be temporary.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Non-mortgage asset-backed securities</w:t>
      </w:r>
    </w:p>
    <w:p>
      <w:pPr>
        <w:spacing w:after="0" w:line="27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At March 31, 2019, four non-mortgage asset-backed securities were in unrealized loss positions, due primarily to increases in market interest rates subsequent to the date of acquisition. These securities were assessed for OTTI using credit and prepayment behavioral models incorporating assumptions consistent with the collateral characteristics of each security. The results of this analysis were not indicative of expected credit losses. Given the expectation of timely recovery of outstanding principal, the impairments were considered to be temporary.</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State and municipal obligations</w:t>
      </w:r>
    </w:p>
    <w:p>
      <w:pPr>
        <w:spacing w:after="0" w:line="2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March 31, 2019, two state and municipal obligations were in unrealized loss positions. The impairments are primarily attributable to increases in market interest rates since acquisition and changes in statutory tax rates. Both of the securities are rated investment grade by nationally recognized statistical ratings organizations. Management's evaluation of these securities for OTTI also encompassed the review of credit scores and analysis provided by a third party firm specializing in the analysis and credit review of municipal securities. Given the absence of expected credit losses, the impairments were considered to be temporary.</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SBA Securities</w:t>
      </w:r>
    </w:p>
    <w:p>
      <w:pPr>
        <w:spacing w:after="0" w:line="27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At March 31, 2019, eight SBA securities were in unrealized loss positions. These securities were purchased at a premium and the impairment was attributable primarily to increased prepayment speeds. The timely payment of principal and interest on these securities is guaranteed by this U.S. Government agency. Given the expectation of timely payment of principal and interest, the impairments were considered to be temporary.</w:t>
      </w:r>
    </w:p>
    <w:p>
      <w:pPr>
        <w:spacing w:after="0" w:line="200" w:lineRule="exact"/>
        <w:rPr>
          <w:sz w:val="20"/>
          <w:szCs w:val="20"/>
          <w:color w:val="auto"/>
        </w:rPr>
      </w:pPr>
    </w:p>
    <w:p>
      <w:pPr>
        <w:spacing w:after="0" w:line="263"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56" w:right="279" w:bottom="1440" w:gutter="0" w:footer="0" w:header="0"/>
        </w:sectPr>
      </w:pPr>
    </w:p>
    <w:bookmarkStart w:id="18" w:name="page19"/>
    <w:bookmarkEnd w:id="1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Loans and Allowance for Loan and Lease Losses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Loans consisted of the following at the dates indicated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4"/>
          </w:tcPr>
          <w:p>
            <w:pPr>
              <w:ind w:left="54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18"/>
                <w:szCs w:val="18"/>
                <w:color w:val="auto"/>
              </w:rPr>
            </w:pPr>
          </w:p>
        </w:tc>
        <w:tc>
          <w:tcPr>
            <w:tcW w:w="240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5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5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Percent of Total</w:t>
            </w:r>
          </w:p>
        </w:tc>
        <w:tc>
          <w:tcPr>
            <w:tcW w:w="280" w:type="dxa"/>
            <w:vAlign w:val="bottom"/>
          </w:tcPr>
          <w:p>
            <w:pPr>
              <w:spacing w:after="0"/>
              <w:rPr>
                <w:sz w:val="22"/>
                <w:szCs w:val="22"/>
                <w:color w:val="auto"/>
              </w:rPr>
            </w:pPr>
          </w:p>
        </w:tc>
        <w:tc>
          <w:tcPr>
            <w:tcW w:w="108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4"/>
                <w:szCs w:val="14"/>
                <w:b w:val="1"/>
                <w:bCs w:val="1"/>
                <w:color w:val="auto"/>
              </w:rPr>
              <w:t>Percent of Total</w:t>
            </w:r>
          </w:p>
        </w:tc>
      </w:tr>
      <w:tr>
        <w:trPr>
          <w:trHeight w:val="236"/>
        </w:trPr>
        <w:tc>
          <w:tcPr>
            <w:tcW w:w="5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other consumer:</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1-4 single family residential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4,657,344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4,606,828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Government insured 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312,312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265,701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14,341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17,369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4,983,997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4,889,898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2,534,527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2,583,331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4,817,629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4,700,188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and land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213,634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227,134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2,093,373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2,122,381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5,039,938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4,801,226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Commercial lending subsidiaries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2,629,874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2,608,834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17,328,975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17,043,094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97"/>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loans</w:t>
            </w: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22,312,972</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21,932,992</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Premiums, discounts and deferred fees and costs,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45,845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44,016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color w:val="auto"/>
              </w:rPr>
              <w:t>Loans including premiums, discounts and deferred fees and costs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22,358,817</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21,977,008</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and lease losses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(114,703)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(109,931)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594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22,244,114</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21,867,077</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Through two subsidiaries, the Bank provides commercial and municipal equipment and franchise financing utilizing both loan and lease structures. At March 31, 2019 and December 31, 2018, the commercial lending subsidiaries portfolio included a net investment in leases of $743 million and $739 million, respectively.</w:t>
      </w:r>
    </w:p>
    <w:p>
      <w:pPr>
        <w:spacing w:after="0" w:line="235"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During the three months ended March 31, 2019 and 2018, the Company purchased 1-4 single family residential loans totaling $305 million and $333 million, respectively. Purchases for the three months ended March 31, 2019 and 2018 included $133 million and $39 million, respectively, of government insured residential loans.</w:t>
      </w:r>
    </w:p>
    <w:p>
      <w:pPr>
        <w:spacing w:after="0" w:line="23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At March 31, 2019, the Company had pledged real estate loans with UPB of approximately $10.0 billion and recorded investment of approximately $9.9 billion as security for FHLB advances.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presents the Company's recorded investment in ACI loans, included in the table above, as of the dates indicated (in thousands):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2019</w:t>
            </w:r>
          </w:p>
        </w:tc>
        <w:tc>
          <w:tcPr>
            <w:tcW w:w="180" w:type="dxa"/>
            <w:vAlign w:val="bottom"/>
          </w:tcPr>
          <w:p>
            <w:pPr>
              <w:spacing w:after="0"/>
              <w:rPr>
                <w:sz w:val="18"/>
                <w:szCs w:val="18"/>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185,886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190,223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17,781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17,925</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203,667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208,148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56" w:right="239" w:bottom="1440" w:gutter="0" w:footer="0" w:header="0"/>
          <w:type w:val="continuous"/>
        </w:sectPr>
      </w:pPr>
    </w:p>
    <w:bookmarkStart w:id="19" w:name="page20"/>
    <w:bookmarkEnd w:id="1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At March 31, 2019 and December 31, 2018, the UPB of ACI loans was $390 million and $408 million, respectively. The accretable yield on ACI loans represents the amount by which undiscounted expected future cash flows exceed recorded investment. Changes in the accretable yield on ACI loans for the three months ended March 31, 2019 and the year ended December 31, 2018 were as follows (in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455,059</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Reclassifications from non-accretable difference, net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128,499</w:t>
            </w: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(369,915)</w:t>
            </w:r>
          </w:p>
        </w:tc>
      </w:tr>
      <w:tr>
        <w:trPr>
          <w:trHeight w:val="270"/>
        </w:trPr>
        <w:tc>
          <w:tcPr>
            <w:tcW w:w="1006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Other changes, net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78,204</w:t>
            </w: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291,847</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Reclassifications from non-accretable difference, net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3,440</w:t>
            </w:r>
          </w:p>
        </w:tc>
      </w:tr>
      <w:tr>
        <w:trPr>
          <w:trHeight w:val="27"/>
        </w:trPr>
        <w:tc>
          <w:tcPr>
            <w:tcW w:w="10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(16,415)</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Balance at March 31, 2019</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278,872</w:t>
            </w:r>
          </w:p>
        </w:tc>
      </w:tr>
      <w:tr>
        <w:trPr>
          <w:trHeight w:val="20"/>
        </w:trPr>
        <w:tc>
          <w:tcPr>
            <w:tcW w:w="10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6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changes in cash flows expected to be collected due to the impact of changes in prepayment assumptions.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loan and lease losses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ALLL is summarized as follows for the periods indicated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Residential and</w:t>
            </w:r>
          </w:p>
        </w:tc>
        <w:tc>
          <w:tcPr>
            <w:tcW w:w="20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3"/>
                <w:szCs w:val="1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Residential and</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Other Consumer</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Other Consumer</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99,143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109,931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144,795</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10,131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10,281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103,751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114,703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10,832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126,644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137,476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56"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the balance of the ALLL and related loans at the dates indicated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Residential and</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Commercial</w:t>
            </w:r>
          </w:p>
        </w:tc>
        <w:tc>
          <w:tcPr>
            <w:tcW w:w="240" w:type="dxa"/>
            <w:vAlign w:val="bottom"/>
          </w:tcPr>
          <w:p>
            <w:pPr>
              <w:spacing w:after="0"/>
              <w:rPr>
                <w:sz w:val="13"/>
                <w:szCs w:val="13"/>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w w:val="98"/>
              </w:rPr>
              <w:t>Residential and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Commercial</w:t>
            </w:r>
          </w:p>
        </w:tc>
        <w:tc>
          <w:tcPr>
            <w:tcW w:w="240" w:type="dxa"/>
            <w:vAlign w:val="bottom"/>
          </w:tcPr>
          <w:p>
            <w:pPr>
              <w:spacing w:after="0"/>
              <w:rPr>
                <w:sz w:val="13"/>
                <w:szCs w:val="13"/>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Other Consumer</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Other Consumer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Allowance for loan and lease losses:</w:t>
            </w:r>
          </w:p>
        </w:tc>
        <w:tc>
          <w:tcPr>
            <w:tcW w:w="1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Ending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10,952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103,751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114,703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10,788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99,143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109,931</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Ending balance: loans individually evaluated for impairment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13,667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13,676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12,143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12,277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Ending balance: loans collectively evaluated for impairment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10,943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90,084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101,027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10,654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87,000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97,654</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Ending balance: ACI loans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Ending balance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5,045,687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17,313,130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22,358,817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4,948,989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17,028,019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21,977,008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Ending balance: loans individually evaluated for impairment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10,891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122,442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133,333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7,690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108,841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116,531</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Ending balance: loans collectively evaluated for impairment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4,848,910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17,172,907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22,021,817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4,751,076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16,901,253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21,652,329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tcPr>
          <w:p>
            <w:pPr>
              <w:ind w:left="280"/>
              <w:spacing w:after="0"/>
              <w:rPr>
                <w:sz w:val="20"/>
                <w:szCs w:val="20"/>
                <w:color w:val="auto"/>
              </w:rPr>
            </w:pPr>
            <w:r>
              <w:rPr>
                <w:rFonts w:ascii="Arial" w:cs="Arial" w:eastAsia="Arial" w:hAnsi="Arial"/>
                <w:sz w:val="14"/>
                <w:szCs w:val="14"/>
                <w:color w:val="auto"/>
              </w:rPr>
              <w:t>Ending balance: ACI loans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185,886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17,781</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203,667</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190,223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17,925</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208,148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 information</w:t>
      </w:r>
    </w:p>
    <w:p>
      <w:pPr>
        <w:spacing w:after="0" w:line="28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Loans, other than ACI loans and government insured residential loans, are considered impaired when, based on current information and events, it is probable that the Company will be unable to collect the scheduled payments of principal or interest when due, according to the contractual terms of the loan agreements. Commercial relationships with committed balances greater than or equal to $1.0 million that have internal risk ratings of substandard or doubtful and are on non-accrual status, as well as loans that have been modified in TDRs, are individually evaluated for impairment. Other commercial relationships on non-accrual status with committed balances under $1.0 million may also be evaluated individually for impairment at management's discretion. The likelihood of loss related to loans assigned internal risk ratings of substandard or doubtful is considered elevated due to their identified credit weaknesses. Factors considered by management in evaluating impairment include payment status, financial condition of the borrower, collateral value, and other factors impacting the probability of collecting scheduled principal and interest payments when due.</w:t>
      </w:r>
    </w:p>
    <w:p>
      <w:pPr>
        <w:spacing w:after="0" w:line="23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An ACI pool or loan is considered to be impaired when it is probable that the Company will be unable to collect all the cash flows expected at acquisition, plus additional cash flows expected to be collected arising from changes in estimates after acquisition. 1-4 single family residential and home equity ACI loans accounted for in pools are evaluated collectively for impairment on a pool by pool basis based on expected pool cash flows. Commercial ACI loans are individually evaluated for impairment based on expected cash flows from the individual loans. Discount continues to be accreted on ACI loans or pools as long as there are expected future cash flows in excess of the current carrying amount of the loans or pools.</w:t>
      </w:r>
    </w:p>
    <w:p>
      <w:pPr>
        <w:spacing w:after="0" w:line="200" w:lineRule="exact"/>
        <w:rPr>
          <w:sz w:val="20"/>
          <w:szCs w:val="20"/>
          <w:color w:val="auto"/>
        </w:rPr>
      </w:pPr>
    </w:p>
    <w:p>
      <w:pPr>
        <w:spacing w:after="0" w:line="27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56"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information about loans identified as impaired at the dates indicated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2019</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Related</w:t>
            </w:r>
          </w:p>
        </w:tc>
        <w:tc>
          <w:tcPr>
            <w:tcW w:w="160" w:type="dxa"/>
            <w:vAlign w:val="bottom"/>
          </w:tcPr>
          <w:p>
            <w:pPr>
              <w:spacing w:after="0"/>
              <w:rPr>
                <w:sz w:val="13"/>
                <w:szCs w:val="13"/>
                <w:color w:val="auto"/>
              </w:rPr>
            </w:pP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Recorded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UPB</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Specific</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UPB</w:t>
            </w:r>
          </w:p>
        </w:tc>
        <w:tc>
          <w:tcPr>
            <w:tcW w:w="16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Specific</w:t>
            </w: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w w:val="97"/>
              </w:rPr>
              <w:t>Investment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Allowance</w:t>
            </w:r>
          </w:p>
        </w:tc>
        <w:tc>
          <w:tcPr>
            <w:tcW w:w="0" w:type="dxa"/>
            <w:vAlign w:val="bottom"/>
          </w:tcPr>
          <w:p>
            <w:pPr>
              <w:spacing w:after="0"/>
              <w:rPr>
                <w:sz w:val="1"/>
                <w:szCs w:val="1"/>
                <w:color w:val="auto"/>
              </w:rPr>
            </w:pPr>
          </w:p>
        </w:tc>
      </w:tr>
      <w:tr>
        <w:trPr>
          <w:trHeight w:val="251"/>
        </w:trPr>
        <w:tc>
          <w:tcPr>
            <w:tcW w:w="4000" w:type="dxa"/>
            <w:vAlign w:val="bottom"/>
            <w:gridSpan w:val="2"/>
          </w:tcPr>
          <w:p>
            <w:pPr>
              <w:ind w:left="40"/>
              <w:spacing w:after="0"/>
              <w:rPr>
                <w:sz w:val="20"/>
                <w:szCs w:val="20"/>
                <w:color w:val="auto"/>
              </w:rPr>
            </w:pPr>
            <w:r>
              <w:rPr>
                <w:rFonts w:ascii="Arial" w:cs="Arial" w:eastAsia="Arial" w:hAnsi="Arial"/>
                <w:sz w:val="14"/>
                <w:szCs w:val="14"/>
                <w:color w:val="auto"/>
              </w:rPr>
              <w:t>With no specific allowance recorded:</w:t>
            </w: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1-4 single family residential </w:t>
            </w:r>
            <w:r>
              <w:rPr>
                <w:rFonts w:ascii="Arial" w:cs="Arial" w:eastAsia="Arial" w:hAnsi="Arial"/>
                <w:sz w:val="8"/>
                <w:szCs w:val="8"/>
                <w:color w:val="auto"/>
              </w:rPr>
              <w:t>(1)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Multi-family</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25,298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25,329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25,560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25,592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Non-owner occupied commercial real estate</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12,293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Construction and land</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8,694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8,697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9,923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9,925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Owner occupied commercial real estate</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11,740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11,750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13,514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13,519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Commercial lending subsidiaries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color w:val="auto"/>
              </w:rPr>
              <w:t>With a specific allowance recorded:</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1-4 single family residential </w:t>
            </w:r>
            <w:r>
              <w:rPr>
                <w:rFonts w:ascii="Arial" w:cs="Arial" w:eastAsia="Arial" w:hAnsi="Arial"/>
                <w:sz w:val="8"/>
                <w:szCs w:val="8"/>
                <w:color w:val="auto"/>
              </w:rPr>
              <w:t>(1)</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Owner occupied commercial real estate</w:t>
            </w: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Non-owner occupied commercial real estate</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Construction and land</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Commercial and industrial</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20,660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10,946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3,831</w:t>
            </w: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Commercial lending subsidiaries</w:t>
            </w: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18,398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18,311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6,309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19,471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19,385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6,737</w:t>
            </w: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Residential and other consumer</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10,891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10,734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7,690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7,546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122,442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122,322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13,667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108,841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108,738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12,143</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133,333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133,056</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13,676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116,531</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116,284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12,277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160" w:type="dxa"/>
            <w:vAlign w:val="bottom"/>
            <w:tcBorders>
              <w:bottom w:val="single" w:sz="8" w:color="auto"/>
            </w:tcBorders>
          </w:tcPr>
          <w:p>
            <w:pPr>
              <w:spacing w:after="0"/>
              <w:rPr>
                <w:sz w:val="21"/>
                <w:szCs w:val="21"/>
                <w:color w:val="auto"/>
              </w:rPr>
            </w:pPr>
          </w:p>
        </w:tc>
        <w:tc>
          <w:tcPr>
            <w:tcW w:w="1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government insured residential loans modified in TDRs totaling $6.1 million and $3.5 million at March 31, 2019 and December 31, 2018, respectively.</w:t>
      </w:r>
    </w:p>
    <w:p>
      <w:pPr>
        <w:spacing w:after="0" w:line="147" w:lineRule="exact"/>
        <w:rPr>
          <w:rFonts w:ascii="Arial" w:cs="Arial" w:eastAsia="Arial" w:hAnsi="Arial"/>
          <w:sz w:val="15"/>
          <w:szCs w:val="15"/>
          <w:color w:val="auto"/>
        </w:rPr>
      </w:pPr>
    </w:p>
    <w:p>
      <w:pPr>
        <w:ind w:left="340" w:right="2440"/>
        <w:spacing w:after="0" w:line="694" w:lineRule="auto"/>
        <w:rPr>
          <w:rFonts w:ascii="Arial" w:cs="Arial" w:eastAsia="Arial" w:hAnsi="Arial"/>
          <w:sz w:val="15"/>
          <w:szCs w:val="15"/>
          <w:color w:val="auto"/>
        </w:rPr>
      </w:pPr>
      <w:r>
        <w:rPr>
          <w:rFonts w:ascii="Arial" w:cs="Arial" w:eastAsia="Arial" w:hAnsi="Arial"/>
          <w:sz w:val="16"/>
          <w:szCs w:val="16"/>
          <w:color w:val="auto"/>
        </w:rPr>
        <w:t>Interest income recognized on impaired loans was immaterial for the three months ended March 31, 2019 and 2018. The following table presents the average recorded investment in impaired loans for the periods indicated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Residential and other consumer:</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1-4 single family residential</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24,720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18,528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12,876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and land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Owner occupied commercial real estate</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11,507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21,599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110,312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Commercial lending subsidiaries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21,883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2,126</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115,643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174,781</w:t>
            </w:r>
          </w:p>
        </w:tc>
      </w:tr>
      <w:tr>
        <w:trPr>
          <w:trHeight w:val="237"/>
        </w:trPr>
        <w:tc>
          <w:tcPr>
            <w:tcW w:w="8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124,934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179,377</w:t>
            </w: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56" w:right="239" w:bottom="1163" w:gutter="0" w:footer="0" w:header="0"/>
          <w:type w:val="continuous"/>
        </w:sectPr>
      </w:pPr>
    </w:p>
    <w:bookmarkStart w:id="22" w:name="page23"/>
    <w:bookmarkEnd w:id="2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recorded investment in loans on non-accrual status as of the dates indicated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 2019</w:t>
            </w:r>
          </w:p>
        </w:tc>
        <w:tc>
          <w:tcPr>
            <w:tcW w:w="340" w:type="dxa"/>
            <w:vAlign w:val="bottom"/>
          </w:tcPr>
          <w:p>
            <w:pPr>
              <w:spacing w:after="0"/>
              <w:rPr>
                <w:sz w:val="16"/>
                <w:szCs w:val="16"/>
                <w:color w:val="auto"/>
              </w:rPr>
            </w:pPr>
          </w:p>
        </w:tc>
        <w:tc>
          <w:tcPr>
            <w:tcW w:w="1940" w:type="dxa"/>
            <w:vAlign w:val="bottom"/>
          </w:tcPr>
          <w:p>
            <w:pPr>
              <w:jc w:val="right"/>
              <w:ind w:right="471"/>
              <w:spacing w:after="0"/>
              <w:rPr>
                <w:sz w:val="20"/>
                <w:szCs w:val="20"/>
                <w:color w:val="auto"/>
              </w:rPr>
            </w:pPr>
            <w:r>
              <w:rPr>
                <w:rFonts w:ascii="Arial" w:cs="Arial" w:eastAsia="Arial" w:hAnsi="Arial"/>
                <w:sz w:val="14"/>
                <w:szCs w:val="14"/>
                <w:b w:val="1"/>
                <w:bCs w:val="1"/>
                <w:color w:val="auto"/>
              </w:rPr>
              <w:t>December 31, 2018</w:t>
            </w:r>
          </w:p>
        </w:tc>
      </w:tr>
      <w:tr>
        <w:trPr>
          <w:trHeight w:val="236"/>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other consumer:</w:t>
            </w: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9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1-4 single family residential</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7,355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6,316</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consumer loans</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r>
      <w:tr>
        <w:trPr>
          <w:trHeight w:val="237"/>
        </w:trPr>
        <w:tc>
          <w:tcPr>
            <w:tcW w:w="67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7,638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6,604</w:t>
            </w:r>
          </w:p>
        </w:tc>
      </w:tr>
      <w:tr>
        <w:trPr>
          <w:trHeight w:val="27"/>
        </w:trPr>
        <w:tc>
          <w:tcPr>
            <w:tcW w:w="6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Multi-family</w:t>
            </w:r>
          </w:p>
        </w:tc>
        <w:tc>
          <w:tcPr>
            <w:tcW w:w="40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25,298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25,560</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Construction and land</w:t>
            </w:r>
          </w:p>
        </w:tc>
        <w:tc>
          <w:tcPr>
            <w:tcW w:w="40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9,790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9,923</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Owner occupied commercial real estate</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40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24,346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28,584</w:t>
            </w: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lending subsidiaries</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22,733</w:t>
            </w:r>
          </w:p>
        </w:tc>
      </w:tr>
      <w:tr>
        <w:trPr>
          <w:trHeight w:val="237"/>
        </w:trPr>
        <w:tc>
          <w:tcPr>
            <w:tcW w:w="67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125,556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122,639</w:t>
            </w:r>
          </w:p>
        </w:tc>
      </w:tr>
      <w:tr>
        <w:trPr>
          <w:trHeight w:val="27"/>
        </w:trPr>
        <w:tc>
          <w:tcPr>
            <w:tcW w:w="6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129,243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Loans contractually delinquent by 90 days or more and still accruing totaled $0.7 million at December 31, 2018. There were no loans contractually delinquent by 90 days and still accruing at March 31, 2019. The amount of additional interest income that would have been recognized on non-accrual loans had they performed in accordance with their contractual terms was approximately $2.0 million and $1.4 million for the three months ended March 31, 2019 and 2018, respectively.</w:t>
      </w:r>
    </w:p>
    <w:p>
      <w:pPr>
        <w:spacing w:after="0" w:line="24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Management considers delinquency status to be the most meaningful indicator of the credit quality of 1-4 single family residential, home equity and consumer loans. Delinquency statistics are updated at least monthly. See "Aging of loans" below for more information on the delinquency status of loans. Original LTV and original FICO score are also important indicators of credit quality for 1-4 single family residential loans other than the FSB loans and government insured loans.</w:t>
      </w:r>
    </w:p>
    <w:p>
      <w:pPr>
        <w:spacing w:after="0" w:line="24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Internal risk ratings are considered the most meaningful indicator of credit quality for commercial loans. Internal risk ratings are a key factor in identifying loans that are individually evaluated for impairment and impact management’s estimates of loss factors used in determining the amount of the ALLL. Internal risk ratings are updated on a continuous basis. Generally, relationships with balances in excess of defined thresholds, ranging from $1 million to $3 million, are re-evaluated at least annually and more frequently if circumstances indicate that a change in risk rating may be warranted. Loans exhibiting potential credit weaknesses that deserve management’s close attention and that if left uncorrected may result in deterioration of the repayment capacity of the borrower are categorized as special mention. Loans with well-defined credit weaknesses, including payment defaults, declining collateral values, frequent overdrafts, operating losses, increasing balance sheet leverage, inadequate cash flow, project cost overruns, unreasonable construction delays, past due real estate taxes or exhausted interest reserves, are assigned an internal risk rating of substandard. A loan with a weakness so severe that collection in full is highly questionable or improbable, but because of certain reasonably specific pending factors has not been charged off, will be assigned an internal risk rating of doubtful.</w:t>
      </w:r>
    </w:p>
    <w:p>
      <w:pPr>
        <w:spacing w:after="0" w:line="200" w:lineRule="exact"/>
        <w:rPr>
          <w:sz w:val="20"/>
          <w:szCs w:val="20"/>
          <w:color w:val="auto"/>
        </w:rPr>
      </w:pPr>
    </w:p>
    <w:p>
      <w:pPr>
        <w:spacing w:after="0" w:line="27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56"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tables summarize key indicators of credit quality for the Company's loans at the dates indicated. Amounts include premiums, discounts and deferred fees and costs (in thousands):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1-4 Single Family Residential credit exposure for loans, excluding FSB loans and government insured residential loans, based on original LTV 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FICO score: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2019</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FICO</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LTV</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9"/>
              </w:rPr>
              <w:t>720 or less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721 - 740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4"/>
              </w:rPr>
              <w:t>741 - 760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761 or</w:t>
            </w:r>
          </w:p>
        </w:tc>
        <w:tc>
          <w:tcPr>
            <w:tcW w:w="28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greater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 or less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125,817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192,383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799,247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1,222,687</w:t>
            </w:r>
          </w:p>
        </w:tc>
        <w:tc>
          <w:tcPr>
            <w:tcW w:w="0" w:type="dxa"/>
            <w:vAlign w:val="bottom"/>
          </w:tcPr>
          <w:p>
            <w:pPr>
              <w:spacing w:after="0"/>
              <w:rPr>
                <w:sz w:val="1"/>
                <w:szCs w:val="1"/>
                <w:color w:val="auto"/>
              </w:rPr>
            </w:pPr>
          </w:p>
        </w:tc>
      </w:tr>
      <w:tr>
        <w:trPr>
          <w:trHeight w:val="243"/>
        </w:trPr>
        <w:tc>
          <w:tcPr>
            <w:tcW w:w="4580" w:type="dxa"/>
            <w:vAlign w:val="bottom"/>
          </w:tcPr>
          <w:p>
            <w:pPr>
              <w:jc w:val="center"/>
              <w:spacing w:after="0"/>
              <w:rPr>
                <w:sz w:val="20"/>
                <w:szCs w:val="20"/>
                <w:color w:val="auto"/>
              </w:rPr>
            </w:pPr>
            <w:r>
              <w:rPr>
                <w:rFonts w:ascii="Arial" w:cs="Arial" w:eastAsia="Arial" w:hAnsi="Arial"/>
                <w:sz w:val="18"/>
                <w:szCs w:val="18"/>
                <w:color w:val="auto"/>
                <w:w w:val="90"/>
              </w:rPr>
              <w:t>60% - 70%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124,602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109,812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171,155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607,402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1,012,971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 - 80%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381,236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1,288,028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2,041,071</w:t>
            </w:r>
          </w:p>
        </w:tc>
        <w:tc>
          <w:tcPr>
            <w:tcW w:w="0" w:type="dxa"/>
            <w:vAlign w:val="bottom"/>
          </w:tcPr>
          <w:p>
            <w:pPr>
              <w:spacing w:after="0"/>
              <w:rPr>
                <w:sz w:val="1"/>
                <w:szCs w:val="1"/>
                <w:color w:val="auto"/>
              </w:rPr>
            </w:pPr>
          </w:p>
        </w:tc>
      </w:tr>
      <w:tr>
        <w:trPr>
          <w:trHeight w:val="243"/>
        </w:trPr>
        <w:tc>
          <w:tcPr>
            <w:tcW w:w="4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More than 80%</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19,016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36,464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43,214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146,150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244,844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414,176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478,582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787,988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2,840,827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4,521,573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FICO</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LTV</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9"/>
              </w:rPr>
              <w:t>720 or less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721 - 740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4"/>
              </w:rPr>
              <w:t>741 - 760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761 or</w:t>
            </w:r>
          </w:p>
        </w:tc>
        <w:tc>
          <w:tcPr>
            <w:tcW w:w="28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greater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 or less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105,812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197,492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813,944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1,241,125</w:t>
            </w:r>
          </w:p>
        </w:tc>
        <w:tc>
          <w:tcPr>
            <w:tcW w:w="0" w:type="dxa"/>
            <w:vAlign w:val="bottom"/>
          </w:tcPr>
          <w:p>
            <w:pPr>
              <w:spacing w:after="0"/>
              <w:rPr>
                <w:sz w:val="1"/>
                <w:szCs w:val="1"/>
                <w:color w:val="auto"/>
              </w:rPr>
            </w:pPr>
          </w:p>
        </w:tc>
      </w:tr>
      <w:tr>
        <w:trPr>
          <w:trHeight w:val="243"/>
        </w:trPr>
        <w:tc>
          <w:tcPr>
            <w:tcW w:w="4580" w:type="dxa"/>
            <w:vAlign w:val="bottom"/>
          </w:tcPr>
          <w:p>
            <w:pPr>
              <w:jc w:val="center"/>
              <w:spacing w:after="0"/>
              <w:rPr>
                <w:sz w:val="20"/>
                <w:szCs w:val="20"/>
                <w:color w:val="auto"/>
              </w:rPr>
            </w:pPr>
            <w:r>
              <w:rPr>
                <w:rFonts w:ascii="Arial" w:cs="Arial" w:eastAsia="Arial" w:hAnsi="Arial"/>
                <w:sz w:val="18"/>
                <w:szCs w:val="18"/>
                <w:color w:val="auto"/>
                <w:w w:val="90"/>
              </w:rPr>
              <w:t>60% - 70%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120,982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109,207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170,531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597,659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998,379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 - 80%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156,519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374,311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1,264,491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1,998,442</w:t>
            </w:r>
          </w:p>
        </w:tc>
        <w:tc>
          <w:tcPr>
            <w:tcW w:w="0" w:type="dxa"/>
            <w:vAlign w:val="bottom"/>
          </w:tcPr>
          <w:p>
            <w:pPr>
              <w:spacing w:after="0"/>
              <w:rPr>
                <w:sz w:val="1"/>
                <w:szCs w:val="1"/>
                <w:color w:val="auto"/>
              </w:rPr>
            </w:pPr>
          </w:p>
        </w:tc>
      </w:tr>
      <w:tr>
        <w:trPr>
          <w:trHeight w:val="243"/>
        </w:trPr>
        <w:tc>
          <w:tcPr>
            <w:tcW w:w="4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More than 80%</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35,036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36,723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136,487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225,598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400,665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471,241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779,057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2,812,581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4,463,544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credit exposure, based on internal risk rating:</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b w:val="1"/>
                <w:bCs w:val="1"/>
                <w:color w:val="auto"/>
                <w:w w:val="96"/>
              </w:rPr>
              <w:t>March 31, 2019</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4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Commercial Lending Subsidiaries</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8"/>
              </w:rPr>
              <w:t>Non-Owner</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Owner Occupied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Occupied</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Construction</w:t>
            </w:r>
          </w:p>
        </w:tc>
        <w:tc>
          <w:tcPr>
            <w:tcW w:w="1240" w:type="dxa"/>
            <w:vAlign w:val="bottom"/>
            <w:gridSpan w:val="3"/>
            <w:vMerge w:val="continue"/>
          </w:tcPr>
          <w:p>
            <w:pPr>
              <w:spacing w:after="0"/>
              <w:rPr>
                <w:sz w:val="12"/>
                <w:szCs w:val="12"/>
                <w:color w:val="auto"/>
              </w:rPr>
            </w:pP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Commercial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Multi-Family</w:t>
            </w:r>
          </w:p>
        </w:tc>
        <w:tc>
          <w:tcPr>
            <w:tcW w:w="13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Commercial Real</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Commercial Real</w:t>
            </w: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Pinnacle</w:t>
            </w:r>
          </w:p>
        </w:tc>
        <w:tc>
          <w:tcPr>
            <w:tcW w:w="2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Bridge</w:t>
            </w:r>
          </w:p>
        </w:tc>
        <w:tc>
          <w:tcPr>
            <w:tcW w:w="180" w:type="dxa"/>
            <w:vAlign w:val="bottom"/>
          </w:tcPr>
          <w:p>
            <w:pPr>
              <w:spacing w:after="0"/>
              <w:rPr>
                <w:sz w:val="12"/>
                <w:szCs w:val="12"/>
                <w:color w:val="auto"/>
              </w:rPr>
            </w:pPr>
          </w:p>
        </w:tc>
        <w:tc>
          <w:tcPr>
            <w:tcW w:w="8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Land</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Estate</w:t>
            </w: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Industrial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Pass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2,502,332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4,734,775</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203,619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2,034,437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4,944,693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1,450,317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1,128,649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16,998,822</w:t>
            </w: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Special mention</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2,565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25,233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23,460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24,625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75,883</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Substandard</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69,068</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57,393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229,170</w:t>
            </w: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Doubtful</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6,305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9,255</w:t>
            </w: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2,536,588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4,806,408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213,409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2,090,514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5,028,496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1,450,317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1,187,398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17,313,130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4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Commercial Lending Subsidiaries</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8"/>
              </w:rPr>
              <w:t>Non-Owner</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Owner Occupied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Occupied</w:t>
            </w: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Construction</w:t>
            </w:r>
          </w:p>
        </w:tc>
        <w:tc>
          <w:tcPr>
            <w:tcW w:w="1240" w:type="dxa"/>
            <w:vAlign w:val="bottom"/>
            <w:gridSpan w:val="3"/>
            <w:vMerge w:val="continue"/>
          </w:tcPr>
          <w:p>
            <w:pPr>
              <w:spacing w:after="0"/>
              <w:rPr>
                <w:sz w:val="12"/>
                <w:szCs w:val="12"/>
                <w:color w:val="auto"/>
              </w:rPr>
            </w:pP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Commercial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Multi-Family</w:t>
            </w:r>
          </w:p>
        </w:tc>
        <w:tc>
          <w:tcPr>
            <w:tcW w:w="13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Commercial Real</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Commercial Real</w:t>
            </w: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Pinnacle</w:t>
            </w:r>
          </w:p>
        </w:tc>
        <w:tc>
          <w:tcPr>
            <w:tcW w:w="2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Bridge</w:t>
            </w:r>
          </w:p>
        </w:tc>
        <w:tc>
          <w:tcPr>
            <w:tcW w:w="180" w:type="dxa"/>
            <w:vAlign w:val="bottom"/>
          </w:tcPr>
          <w:p>
            <w:pPr>
              <w:spacing w:after="0"/>
              <w:rPr>
                <w:sz w:val="12"/>
                <w:szCs w:val="12"/>
                <w:color w:val="auto"/>
              </w:rPr>
            </w:pPr>
          </w:p>
        </w:tc>
        <w:tc>
          <w:tcPr>
            <w:tcW w:w="8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Estate</w:t>
            </w:r>
          </w:p>
        </w:tc>
        <w:tc>
          <w:tcPr>
            <w:tcW w:w="12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and Land</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Estate</w:t>
            </w:r>
          </w:p>
        </w:tc>
        <w:tc>
          <w:tcPr>
            <w:tcW w:w="24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Industrial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Pass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2,547,835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4,611,029</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216,917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2,077,611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4,706,666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1,462,655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1,105,821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16,728,534</w:t>
            </w: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Special mention</w:t>
            </w: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16,516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13,368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38,097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81,070</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Substandard</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61,335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210,026</w:t>
            </w: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color w:val="auto"/>
              </w:rPr>
              <w:t>Doubtful</w:t>
            </w: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8,389</w:t>
            </w: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2,585,421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4,688,880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226,840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2,119,880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4,790,200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1,462,655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1,154,143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17,028,019</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Aging of loans: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an aging of loans at the dates indicated. Amounts include premiums, discounts and deferred fees and costs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5"/>
              </w:rPr>
              <w:t>March 31, 2019</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0"/>
              </w:rPr>
              <w:t>December 31, 2018</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44"/>
        </w:trPr>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3"/>
              </w:rPr>
              <w:t>30 - 59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88"/>
              </w:rPr>
              <w:t>60 - 89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90 Days or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88"/>
              </w:rPr>
              <w:t>30 - 59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8"/>
              </w:rPr>
              <w:t>60 - 89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90 Days or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Days Past</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Days Past</w:t>
            </w: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More Past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3"/>
              </w:rPr>
              <w:t>Days Past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Days Past</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More Past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4"/>
        </w:trPr>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3"/>
                <w:szCs w:val="13"/>
                <w:b w:val="1"/>
                <w:bCs w:val="1"/>
                <w:color w:val="auto"/>
              </w:rPr>
              <w:t>Current</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Due</w:t>
            </w: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Due</w:t>
            </w: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Due</w:t>
            </w:r>
          </w:p>
        </w:tc>
        <w:tc>
          <w:tcPr>
            <w:tcW w:w="220" w:type="dxa"/>
            <w:vAlign w:val="bottom"/>
          </w:tcPr>
          <w:p>
            <w:pPr>
              <w:spacing w:after="0"/>
              <w:rPr>
                <w:sz w:val="15"/>
                <w:szCs w:val="15"/>
                <w:color w:val="auto"/>
              </w:rPr>
            </w:pP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Current</w:t>
            </w:r>
          </w:p>
        </w:tc>
        <w:tc>
          <w:tcPr>
            <w:tcW w:w="120" w:type="dxa"/>
            <w:vAlign w:val="bottom"/>
          </w:tcPr>
          <w:p>
            <w:pPr>
              <w:spacing w:after="0"/>
              <w:rPr>
                <w:sz w:val="15"/>
                <w:szCs w:val="15"/>
                <w:color w:val="auto"/>
              </w:rPr>
            </w:pPr>
          </w:p>
        </w:tc>
        <w:tc>
          <w:tcPr>
            <w:tcW w:w="66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Due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Due</w:t>
            </w:r>
          </w:p>
        </w:tc>
        <w:tc>
          <w:tcPr>
            <w:tcW w:w="14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Due</w:t>
            </w: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3"/>
                <w:szCs w:val="13"/>
                <w:b w:val="1"/>
                <w:bCs w:val="1"/>
                <w:color w:val="auto"/>
              </w:rPr>
              <w:t>Total</w:t>
            </w:r>
          </w:p>
        </w:tc>
      </w:tr>
      <w:tr>
        <w:trPr>
          <w:trHeight w:val="134"/>
        </w:trPr>
        <w:tc>
          <w:tcPr>
            <w:tcW w:w="1260" w:type="dxa"/>
            <w:vAlign w:val="bottom"/>
          </w:tcPr>
          <w:p>
            <w:pPr>
              <w:ind w:left="40"/>
              <w:spacing w:after="0" w:line="134" w:lineRule="exact"/>
              <w:rPr>
                <w:sz w:val="20"/>
                <w:szCs w:val="20"/>
                <w:color w:val="auto"/>
              </w:rPr>
            </w:pPr>
            <w:r>
              <w:rPr>
                <w:rFonts w:ascii="Arial" w:cs="Arial" w:eastAsia="Arial" w:hAnsi="Arial"/>
                <w:sz w:val="13"/>
                <w:szCs w:val="13"/>
                <w:color w:val="auto"/>
              </w:rPr>
              <w:t>1-4 single family</w:t>
            </w: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168"/>
        </w:trPr>
        <w:tc>
          <w:tcPr>
            <w:tcW w:w="1260" w:type="dxa"/>
            <w:vAlign w:val="bottom"/>
          </w:tcPr>
          <w:p>
            <w:pPr>
              <w:ind w:left="120"/>
              <w:spacing w:after="0"/>
              <w:rPr>
                <w:sz w:val="20"/>
                <w:szCs w:val="20"/>
                <w:color w:val="auto"/>
              </w:rPr>
            </w:pPr>
            <w:r>
              <w:rPr>
                <w:rFonts w:ascii="Arial" w:cs="Arial" w:eastAsia="Arial" w:hAnsi="Arial"/>
                <w:sz w:val="13"/>
                <w:szCs w:val="13"/>
                <w:color w:val="auto"/>
              </w:rPr>
              <w:t>residential</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4,527,777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175,741</w:t>
            </w:r>
          </w:p>
        </w:tc>
        <w:tc>
          <w:tcPr>
            <w:tcW w:w="1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7,983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6,552</w:t>
            </w:r>
          </w:p>
        </w:tc>
        <w:tc>
          <w:tcPr>
            <w:tcW w:w="12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4,718,053</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4,640,771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15,070</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2,126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6,953</w:t>
            </w:r>
          </w:p>
        </w:tc>
        <w:tc>
          <w:tcPr>
            <w:tcW w:w="10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4,664,920</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Government insured</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residential</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33,354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17,965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247,474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313,311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8,342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218,168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266,729</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w w:val="90"/>
              </w:rPr>
              <w:t>Home equity loans and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260" w:type="dxa"/>
            <w:vAlign w:val="bottom"/>
          </w:tcPr>
          <w:p>
            <w:pPr>
              <w:ind w:left="120"/>
              <w:spacing w:after="0"/>
              <w:rPr>
                <w:sz w:val="20"/>
                <w:szCs w:val="20"/>
                <w:color w:val="auto"/>
              </w:rPr>
            </w:pPr>
            <w:r>
              <w:rPr>
                <w:rFonts w:ascii="Arial" w:cs="Arial" w:eastAsia="Arial" w:hAnsi="Arial"/>
                <w:sz w:val="13"/>
                <w:szCs w:val="13"/>
                <w:color w:val="auto"/>
              </w:rPr>
              <w:t>lines of credit</w:t>
            </w:r>
          </w:p>
        </w:tc>
        <w:tc>
          <w:tcPr>
            <w:tcW w:w="2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1,393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1,393</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Other consumer loans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15,947</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Multi-family</w:t>
            </w:r>
          </w:p>
        </w:tc>
        <w:tc>
          <w:tcPr>
            <w:tcW w:w="20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2,536,588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2,536,588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2,585,421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2,585,421</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Non-owner occupied</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5"/>
        </w:trPr>
        <w:tc>
          <w:tcPr>
            <w:tcW w:w="12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commercial real</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76"/>
        </w:trPr>
        <w:tc>
          <w:tcPr>
            <w:tcW w:w="1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estate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4,784,011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2,167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4,806,408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4,682,443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4,688,880</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w w:val="94"/>
              </w:rPr>
              <w:t>Construction and land</w:t>
            </w:r>
          </w:p>
        </w:tc>
        <w:tc>
          <w:tcPr>
            <w:tcW w:w="20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209,374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2,939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1,096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213,409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224,828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226,840</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Owner occupied</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5"/>
        </w:trPr>
        <w:tc>
          <w:tcPr>
            <w:tcW w:w="12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commercial real</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76"/>
        </w:trPr>
        <w:tc>
          <w:tcPr>
            <w:tcW w:w="1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estate</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2,078,379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2,834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7,420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2,090,514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2,106,104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2,119,880</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Commercial and</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1260" w:type="dxa"/>
            <w:vAlign w:val="bottom"/>
          </w:tcPr>
          <w:p>
            <w:pPr>
              <w:ind w:left="120"/>
              <w:spacing w:after="0"/>
              <w:rPr>
                <w:sz w:val="20"/>
                <w:szCs w:val="20"/>
                <w:color w:val="auto"/>
              </w:rPr>
            </w:pPr>
            <w:r>
              <w:rPr>
                <w:rFonts w:ascii="Arial" w:cs="Arial" w:eastAsia="Arial" w:hAnsi="Arial"/>
                <w:sz w:val="13"/>
                <w:szCs w:val="13"/>
                <w:color w:val="auto"/>
              </w:rPr>
              <w:t>industrial</w:t>
            </w:r>
          </w:p>
        </w:tc>
        <w:tc>
          <w:tcPr>
            <w:tcW w:w="2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5,017,066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10,358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5,028,496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4,772,978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6,732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9,564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4,790,200</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lending</w:t>
            </w: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subsidiaries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62"/>
        </w:trPr>
        <w:tc>
          <w:tcPr>
            <w:tcW w:w="1260" w:type="dxa"/>
            <w:vAlign w:val="bottom"/>
          </w:tcPr>
          <w:p>
            <w:pPr>
              <w:ind w:left="180"/>
              <w:spacing w:after="0"/>
              <w:rPr>
                <w:sz w:val="20"/>
                <w:szCs w:val="20"/>
                <w:color w:val="auto"/>
              </w:rPr>
            </w:pPr>
            <w:r>
              <w:rPr>
                <w:rFonts w:ascii="Arial" w:cs="Arial" w:eastAsia="Arial" w:hAnsi="Arial"/>
                <w:sz w:val="13"/>
                <w:szCs w:val="13"/>
                <w:color w:val="auto"/>
              </w:rPr>
              <w:t>Pinnacle</w:t>
            </w:r>
          </w:p>
        </w:tc>
        <w:tc>
          <w:tcPr>
            <w:tcW w:w="20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1,450,317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1,450,317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1,462,655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1,462,655</w:t>
            </w:r>
          </w:p>
        </w:tc>
      </w:tr>
      <w:tr>
        <w:trPr>
          <w:trHeight w:val="272"/>
        </w:trPr>
        <w:tc>
          <w:tcPr>
            <w:tcW w:w="1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Bridge</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1,183,944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3,384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1,187,398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1,152,312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603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1,228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1,154,143</w:t>
            </w:r>
          </w:p>
        </w:tc>
      </w:tr>
      <w:tr>
        <w:trPr>
          <w:trHeight w:val="237"/>
        </w:trPr>
        <w:tc>
          <w:tcPr>
            <w:tcW w:w="126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21,833,128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208,099</w:t>
            </w:r>
          </w:p>
        </w:tc>
        <w:tc>
          <w:tcPr>
            <w:tcW w:w="12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42,453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275,137</w:t>
            </w:r>
          </w:p>
        </w:tc>
        <w:tc>
          <w:tcPr>
            <w:tcW w:w="120" w:type="dxa"/>
            <w:vAlign w:val="bottom"/>
          </w:tcPr>
          <w:p>
            <w:pPr>
              <w:spacing w:after="0"/>
              <w:rPr>
                <w:sz w:val="20"/>
                <w:szCs w:val="20"/>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22,358,817</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21,676,200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38,110</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14,384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248,314</w:t>
            </w:r>
          </w:p>
        </w:tc>
        <w:tc>
          <w:tcPr>
            <w:tcW w:w="100" w:type="dxa"/>
            <w:vAlign w:val="bottom"/>
          </w:tcPr>
          <w:p>
            <w:pPr>
              <w:spacing w:after="0"/>
              <w:rPr>
                <w:sz w:val="20"/>
                <w:szCs w:val="20"/>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21,977,008</w:t>
            </w:r>
          </w:p>
        </w:tc>
      </w:tr>
      <w:tr>
        <w:trPr>
          <w:trHeight w:val="20"/>
        </w:trPr>
        <w:tc>
          <w:tcPr>
            <w:tcW w:w="1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256" w:right="239" w:bottom="1440" w:gutter="0" w:footer="0" w:header="0"/>
          <w:type w:val="continuous"/>
        </w:sectPr>
      </w:pPr>
    </w:p>
    <w:bookmarkStart w:id="25" w:name="page26"/>
    <w:bookmarkEnd w:id="2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Foreclosure of residential real estate</w:t>
      </w:r>
    </w:p>
    <w:p>
      <w:pPr>
        <w:spacing w:after="0" w:line="28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carrying amount of foreclosed residential real estate included in "Other assets" in the accompanying consolidated balance sheets totaled $6 million at both March 31, 2019 and December 31, 2018. The recorded investment in non-government insured residential mortgage loans in the process of foreclosure was insignificant at March 31, 2019 and December 31, 2018. The recorded investment in government insured residential loans in the process of foreclosure totaled $125 million and $85 million at March 31, 2019 and December 31, 2018, respectively.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Troubled debt restructurings</w:t>
      </w:r>
    </w:p>
    <w:p>
      <w:pPr>
        <w:spacing w:after="0" w:line="28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 summarizes loans that were modified in TDRs during the periods indicated, as well as loans modified during the twelve months preceding March 31, 2019 and 2018 that experienced payment defaults during the periods indicated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Three Months Ended March 31,</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64"/>
        </w:trPr>
        <w:tc>
          <w:tcPr>
            <w:tcW w:w="264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2019</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853"/>
              <w:spacing w:after="0"/>
              <w:rPr>
                <w:sz w:val="20"/>
                <w:szCs w:val="20"/>
                <w:color w:val="auto"/>
              </w:rPr>
            </w:pPr>
            <w:r>
              <w:rPr>
                <w:rFonts w:ascii="Arial" w:cs="Arial" w:eastAsia="Arial" w:hAnsi="Arial"/>
                <w:sz w:val="13"/>
                <w:szCs w:val="13"/>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144"/>
        </w:trPr>
        <w:tc>
          <w:tcPr>
            <w:tcW w:w="2640" w:type="dxa"/>
            <w:vAlign w:val="bottom"/>
          </w:tcPr>
          <w:p>
            <w:pPr>
              <w:spacing w:after="0"/>
              <w:rPr>
                <w:sz w:val="12"/>
                <w:szCs w:val="12"/>
                <w:color w:val="auto"/>
              </w:rPr>
            </w:pPr>
          </w:p>
        </w:tc>
        <w:tc>
          <w:tcPr>
            <w:tcW w:w="2320" w:type="dxa"/>
            <w:vAlign w:val="bottom"/>
            <w:gridSpan w:val="6"/>
          </w:tcPr>
          <w:p>
            <w:pPr>
              <w:jc w:val="right"/>
              <w:ind w:right="660"/>
              <w:spacing w:after="0" w:line="144" w:lineRule="exact"/>
              <w:rPr>
                <w:sz w:val="20"/>
                <w:szCs w:val="20"/>
                <w:color w:val="auto"/>
              </w:rPr>
            </w:pPr>
            <w:r>
              <w:rPr>
                <w:rFonts w:ascii="Arial" w:cs="Arial" w:eastAsia="Arial" w:hAnsi="Arial"/>
                <w:sz w:val="13"/>
                <w:szCs w:val="13"/>
                <w:b w:val="1"/>
                <w:bCs w:val="1"/>
                <w:color w:val="auto"/>
              </w:rPr>
              <w:t>Loans Modified in TDRs</w:t>
            </w:r>
          </w:p>
        </w:tc>
        <w:tc>
          <w:tcPr>
            <w:tcW w:w="2080" w:type="dxa"/>
            <w:vAlign w:val="bottom"/>
            <w:gridSpan w:val="5"/>
          </w:tcPr>
          <w:p>
            <w:pPr>
              <w:ind w:left="100"/>
              <w:spacing w:after="0" w:line="144" w:lineRule="exact"/>
              <w:rPr>
                <w:sz w:val="20"/>
                <w:szCs w:val="20"/>
                <w:color w:val="auto"/>
              </w:rPr>
            </w:pPr>
            <w:r>
              <w:rPr>
                <w:rFonts w:ascii="Arial" w:cs="Arial" w:eastAsia="Arial" w:hAnsi="Arial"/>
                <w:sz w:val="13"/>
                <w:szCs w:val="13"/>
                <w:b w:val="1"/>
                <w:bCs w:val="1"/>
                <w:color w:val="auto"/>
              </w:rPr>
              <w:t>TDRs Experiencing Payment</w:t>
            </w:r>
          </w:p>
        </w:tc>
        <w:tc>
          <w:tcPr>
            <w:tcW w:w="2060" w:type="dxa"/>
            <w:vAlign w:val="bottom"/>
            <w:gridSpan w:val="4"/>
          </w:tcPr>
          <w:p>
            <w:pPr>
              <w:jc w:val="right"/>
              <w:ind w:right="250"/>
              <w:spacing w:after="0" w:line="144" w:lineRule="exact"/>
              <w:rPr>
                <w:sz w:val="20"/>
                <w:szCs w:val="20"/>
                <w:color w:val="auto"/>
              </w:rPr>
            </w:pPr>
            <w:r>
              <w:rPr>
                <w:rFonts w:ascii="Arial" w:cs="Arial" w:eastAsia="Arial" w:hAnsi="Arial"/>
                <w:sz w:val="13"/>
                <w:szCs w:val="13"/>
                <w:b w:val="1"/>
                <w:bCs w:val="1"/>
                <w:color w:val="auto"/>
              </w:rPr>
              <w:t>Loans Modified in TDRs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4"/>
          </w:tcPr>
          <w:p>
            <w:pPr>
              <w:jc w:val="right"/>
              <w:ind w:right="210"/>
              <w:spacing w:after="0" w:line="144" w:lineRule="exact"/>
              <w:rPr>
                <w:sz w:val="20"/>
                <w:szCs w:val="20"/>
                <w:color w:val="auto"/>
              </w:rPr>
            </w:pPr>
            <w:r>
              <w:rPr>
                <w:rFonts w:ascii="Arial" w:cs="Arial" w:eastAsia="Arial" w:hAnsi="Arial"/>
                <w:sz w:val="13"/>
                <w:szCs w:val="13"/>
                <w:b w:val="1"/>
                <w:bCs w:val="1"/>
                <w:color w:val="auto"/>
              </w:rPr>
              <w:t>TDRs Experiencing Payment</w:t>
            </w:r>
          </w:p>
        </w:tc>
      </w:tr>
      <w:tr>
        <w:trPr>
          <w:trHeight w:val="174"/>
        </w:trPr>
        <w:tc>
          <w:tcPr>
            <w:tcW w:w="2640" w:type="dxa"/>
            <w:vAlign w:val="bottom"/>
          </w:tcPr>
          <w:p>
            <w:pPr>
              <w:spacing w:after="0"/>
              <w:rPr>
                <w:sz w:val="15"/>
                <w:szCs w:val="15"/>
                <w:color w:val="auto"/>
              </w:rPr>
            </w:pPr>
          </w:p>
        </w:tc>
        <w:tc>
          <w:tcPr>
            <w:tcW w:w="1980" w:type="dxa"/>
            <w:vAlign w:val="bottom"/>
            <w:tcBorders>
              <w:bottom w:val="single" w:sz="8" w:color="auto"/>
            </w:tcBorders>
            <w:gridSpan w:val="4"/>
          </w:tcPr>
          <w:p>
            <w:pPr>
              <w:jc w:val="right"/>
              <w:ind w:right="405"/>
              <w:spacing w:after="0"/>
              <w:rPr>
                <w:sz w:val="20"/>
                <w:szCs w:val="20"/>
                <w:color w:val="auto"/>
              </w:rPr>
            </w:pPr>
            <w:r>
              <w:rPr>
                <w:rFonts w:ascii="Arial" w:cs="Arial" w:eastAsia="Arial" w:hAnsi="Arial"/>
                <w:sz w:val="13"/>
                <w:szCs w:val="13"/>
                <w:b w:val="1"/>
                <w:bCs w:val="1"/>
                <w:color w:val="auto"/>
              </w:rPr>
              <w:t>During the Period</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3"/>
                <w:szCs w:val="13"/>
                <w:b w:val="1"/>
                <w:bCs w:val="1"/>
                <w:color w:val="auto"/>
                <w:w w:val="97"/>
              </w:rPr>
              <w:t>Defaults During the Period</w:t>
            </w:r>
          </w:p>
        </w:tc>
        <w:tc>
          <w:tcPr>
            <w:tcW w:w="100" w:type="dxa"/>
            <w:vAlign w:val="bottom"/>
          </w:tcPr>
          <w:p>
            <w:pPr>
              <w:spacing w:after="0"/>
              <w:rPr>
                <w:sz w:val="15"/>
                <w:szCs w:val="15"/>
                <w:color w:val="auto"/>
              </w:rPr>
            </w:pPr>
          </w:p>
        </w:tc>
        <w:tc>
          <w:tcPr>
            <w:tcW w:w="20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3"/>
                <w:szCs w:val="13"/>
                <w:b w:val="1"/>
                <w:bCs w:val="1"/>
                <w:color w:val="auto"/>
              </w:rPr>
              <w:t>During the Period</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bottom w:val="single" w:sz="8" w:color="auto"/>
            </w:tcBorders>
            <w:gridSpan w:val="4"/>
          </w:tcPr>
          <w:p>
            <w:pPr>
              <w:ind w:left="360"/>
              <w:spacing w:after="0"/>
              <w:rPr>
                <w:sz w:val="20"/>
                <w:szCs w:val="20"/>
                <w:color w:val="auto"/>
              </w:rPr>
            </w:pPr>
            <w:r>
              <w:rPr>
                <w:rFonts w:ascii="Arial" w:cs="Arial" w:eastAsia="Arial" w:hAnsi="Arial"/>
                <w:sz w:val="13"/>
                <w:szCs w:val="13"/>
                <w:b w:val="1"/>
                <w:bCs w:val="1"/>
                <w:color w:val="auto"/>
              </w:rPr>
              <w:t>Defaults During the Period</w:t>
            </w:r>
          </w:p>
        </w:tc>
      </w:tr>
      <w:tr>
        <w:trPr>
          <w:trHeight w:val="144"/>
        </w:trPr>
        <w:tc>
          <w:tcPr>
            <w:tcW w:w="2640" w:type="dxa"/>
            <w:vAlign w:val="bottom"/>
          </w:tcPr>
          <w:p>
            <w:pPr>
              <w:spacing w:after="0"/>
              <w:rPr>
                <w:sz w:val="12"/>
                <w:szCs w:val="12"/>
                <w:color w:val="auto"/>
              </w:rPr>
            </w:pPr>
          </w:p>
        </w:tc>
        <w:tc>
          <w:tcPr>
            <w:tcW w:w="106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1120" w:type="dxa"/>
            <w:vAlign w:val="bottom"/>
            <w:gridSpan w:val="3"/>
          </w:tcPr>
          <w:p>
            <w:pPr>
              <w:jc w:val="right"/>
              <w:ind w:right="540"/>
              <w:spacing w:after="0" w:line="144" w:lineRule="exact"/>
              <w:rPr>
                <w:sz w:val="20"/>
                <w:szCs w:val="20"/>
                <w:color w:val="auto"/>
              </w:rPr>
            </w:pPr>
            <w:r>
              <w:rPr>
                <w:rFonts w:ascii="Arial" w:cs="Arial" w:eastAsia="Arial" w:hAnsi="Arial"/>
                <w:sz w:val="13"/>
                <w:szCs w:val="13"/>
                <w:b w:val="1"/>
                <w:bCs w:val="1"/>
                <w:color w:val="auto"/>
                <w:w w:val="93"/>
              </w:rPr>
              <w:t>Recorded</w:t>
            </w:r>
          </w:p>
        </w:tc>
        <w:tc>
          <w:tcPr>
            <w:tcW w:w="94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2"/>
                <w:szCs w:val="12"/>
                <w:color w:val="auto"/>
              </w:rPr>
            </w:pPr>
          </w:p>
        </w:tc>
        <w:tc>
          <w:tcPr>
            <w:tcW w:w="96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Recorded</w:t>
            </w:r>
          </w:p>
        </w:tc>
        <w:tc>
          <w:tcPr>
            <w:tcW w:w="1120" w:type="dxa"/>
            <w:vAlign w:val="bottom"/>
            <w:gridSpan w:val="2"/>
          </w:tcPr>
          <w:p>
            <w:pPr>
              <w:ind w:left="220"/>
              <w:spacing w:after="0" w:line="144"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2"/>
                <w:szCs w:val="12"/>
                <w:color w:val="auto"/>
              </w:rPr>
            </w:pPr>
          </w:p>
        </w:tc>
        <w:tc>
          <w:tcPr>
            <w:tcW w:w="780" w:type="dxa"/>
            <w:vAlign w:val="bottom"/>
          </w:tcPr>
          <w:p>
            <w:pPr>
              <w:jc w:val="right"/>
              <w:ind w:right="90"/>
              <w:spacing w:after="0" w:line="144" w:lineRule="exact"/>
              <w:rPr>
                <w:sz w:val="20"/>
                <w:szCs w:val="20"/>
                <w:color w:val="auto"/>
              </w:rPr>
            </w:pPr>
            <w:r>
              <w:rPr>
                <w:rFonts w:ascii="Arial" w:cs="Arial" w:eastAsia="Arial" w:hAnsi="Arial"/>
                <w:sz w:val="13"/>
                <w:szCs w:val="13"/>
                <w:b w:val="1"/>
                <w:bCs w:val="1"/>
                <w:color w:val="auto"/>
                <w:w w:val="99"/>
              </w:rPr>
              <w:t>Recorded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220"/>
              <w:spacing w:after="0" w:line="144"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2"/>
                <w:szCs w:val="12"/>
                <w:color w:val="auto"/>
              </w:rPr>
            </w:pPr>
          </w:p>
        </w:tc>
        <w:tc>
          <w:tcPr>
            <w:tcW w:w="860" w:type="dxa"/>
            <w:vAlign w:val="bottom"/>
          </w:tcPr>
          <w:p>
            <w:pPr>
              <w:jc w:val="right"/>
              <w:ind w:right="170"/>
              <w:spacing w:after="0" w:line="144" w:lineRule="exact"/>
              <w:rPr>
                <w:sz w:val="20"/>
                <w:szCs w:val="20"/>
                <w:color w:val="auto"/>
              </w:rPr>
            </w:pPr>
            <w:r>
              <w:rPr>
                <w:rFonts w:ascii="Arial" w:cs="Arial" w:eastAsia="Arial" w:hAnsi="Arial"/>
                <w:sz w:val="13"/>
                <w:szCs w:val="13"/>
                <w:b w:val="1"/>
                <w:bCs w:val="1"/>
                <w:color w:val="auto"/>
                <w:w w:val="99"/>
              </w:rPr>
              <w:t>Recorded</w:t>
            </w:r>
          </w:p>
        </w:tc>
      </w:tr>
      <w:tr>
        <w:trPr>
          <w:trHeight w:val="174"/>
        </w:trPr>
        <w:tc>
          <w:tcPr>
            <w:tcW w:w="26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TDRs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b w:val="1"/>
                <w:bCs w:val="1"/>
                <w:color w:val="auto"/>
                <w:w w:val="87"/>
              </w:rPr>
              <w:t>Investment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TDRs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w w:val="90"/>
              </w:rPr>
              <w:t>Investment</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3"/>
                <w:szCs w:val="13"/>
                <w:b w:val="1"/>
                <w:bCs w:val="1"/>
                <w:color w:val="auto"/>
              </w:rPr>
              <w:t>TDRs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93"/>
              </w:rPr>
              <w:t>Investment</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TDRs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w w:val="93"/>
              </w:rPr>
              <w:t>Investment</w:t>
            </w:r>
          </w:p>
        </w:tc>
      </w:tr>
      <w:tr>
        <w:trPr>
          <w:trHeight w:val="257"/>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1-4 single family residential</w:t>
            </w:r>
            <w:r>
              <w:rPr>
                <w:rFonts w:ascii="Arial" w:cs="Arial" w:eastAsia="Arial" w:hAnsi="Arial"/>
                <w:sz w:val="21"/>
                <w:szCs w:val="21"/>
                <w:color w:val="auto"/>
                <w:vertAlign w:val="superscript"/>
              </w:rPr>
              <w:t>(1)</w:t>
            </w: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3,548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1,942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200" w:type="dxa"/>
            <w:vAlign w:val="bottom"/>
            <w:gridSpan w:val="3"/>
            <w:shd w:val="clear" w:color="auto" w:fill="CCEEFF"/>
          </w:tcPr>
          <w:p>
            <w:pPr>
              <w:jc w:val="right"/>
              <w:ind w:right="33"/>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185</w:t>
            </w:r>
          </w:p>
        </w:tc>
      </w:tr>
      <w:tr>
        <w:trPr>
          <w:trHeight w:val="220"/>
        </w:trPr>
        <w:tc>
          <w:tcPr>
            <w:tcW w:w="2640" w:type="dxa"/>
            <w:vAlign w:val="bottom"/>
          </w:tcPr>
          <w:p>
            <w:pPr>
              <w:ind w:left="180"/>
              <w:spacing w:after="0"/>
              <w:rPr>
                <w:sz w:val="20"/>
                <w:szCs w:val="20"/>
                <w:color w:val="auto"/>
              </w:rPr>
            </w:pPr>
            <w:r>
              <w:rPr>
                <w:rFonts w:ascii="Arial" w:cs="Arial" w:eastAsia="Arial" w:hAnsi="Arial"/>
                <w:sz w:val="16"/>
                <w:szCs w:val="16"/>
                <w:color w:val="auto"/>
              </w:rPr>
              <w:t>Non-owner occupied commercial</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3"/>
        </w:trPr>
        <w:tc>
          <w:tcPr>
            <w:tcW w:w="2640" w:type="dxa"/>
            <w:vAlign w:val="bottom"/>
          </w:tcPr>
          <w:p>
            <w:pPr>
              <w:ind w:left="260"/>
              <w:spacing w:after="0"/>
              <w:rPr>
                <w:sz w:val="20"/>
                <w:szCs w:val="20"/>
                <w:color w:val="auto"/>
              </w:rPr>
            </w:pPr>
            <w:r>
              <w:rPr>
                <w:rFonts w:ascii="Arial" w:cs="Arial" w:eastAsia="Arial" w:hAnsi="Arial"/>
                <w:sz w:val="16"/>
                <w:szCs w:val="16"/>
                <w:color w:val="auto"/>
              </w:rPr>
              <w:t>real estate</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6"/>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45"/>
              <w:spacing w:after="0"/>
              <w:rPr>
                <w:sz w:val="20"/>
                <w:szCs w:val="20"/>
                <w:color w:val="auto"/>
              </w:rPr>
            </w:pPr>
            <w:r>
              <w:rPr>
                <w:rFonts w:ascii="Arial" w:cs="Arial" w:eastAsia="Arial" w:hAnsi="Arial"/>
                <w:sz w:val="16"/>
                <w:szCs w:val="16"/>
                <w:color w:val="auto"/>
              </w:rPr>
              <w:t>2,874</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26"/>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Owner occupied commercial real</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9"/>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estate</w:t>
            </w: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904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1,962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64"/>
        </w:trPr>
        <w:tc>
          <w:tcPr>
            <w:tcW w:w="26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940" w:type="dxa"/>
            <w:vAlign w:val="bottom"/>
          </w:tcPr>
          <w:p>
            <w:pPr>
              <w:jc w:val="right"/>
              <w:ind w:right="46"/>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5"/>
              <w:spacing w:after="0"/>
              <w:rPr>
                <w:sz w:val="20"/>
                <w:szCs w:val="20"/>
                <w:color w:val="auto"/>
              </w:rPr>
            </w:pPr>
            <w:r>
              <w:rPr>
                <w:rFonts w:ascii="Arial" w:cs="Arial" w:eastAsia="Arial" w:hAnsi="Arial"/>
                <w:sz w:val="16"/>
                <w:szCs w:val="16"/>
                <w:color w:val="auto"/>
              </w:rPr>
              <w:t>12,720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46"/>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45"/>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1,204</w:t>
            </w:r>
          </w:p>
        </w:tc>
        <w:tc>
          <w:tcPr>
            <w:tcW w:w="1200" w:type="dxa"/>
            <w:vAlign w:val="bottom"/>
            <w:gridSpan w:val="3"/>
          </w:tcPr>
          <w:p>
            <w:pPr>
              <w:jc w:val="right"/>
              <w:ind w:right="33"/>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3,610</w:t>
            </w:r>
          </w:p>
        </w:tc>
      </w:tr>
      <w:tr>
        <w:trPr>
          <w:trHeight w:val="270"/>
        </w:trPr>
        <w:tc>
          <w:tcPr>
            <w:tcW w:w="2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 lending subsidiaries</w:t>
            </w: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2,097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0"/>
        </w:trPr>
        <w:tc>
          <w:tcPr>
            <w:tcW w:w="2640" w:type="dxa"/>
            <w:vAlign w:val="bottom"/>
          </w:tcPr>
          <w:p>
            <w:pPr>
              <w:spacing w:after="0"/>
              <w:rPr>
                <w:sz w:val="21"/>
                <w:szCs w:val="21"/>
                <w:color w:val="auto"/>
              </w:rPr>
            </w:pPr>
          </w:p>
        </w:tc>
        <w:tc>
          <w:tcPr>
            <w:tcW w:w="940" w:type="dxa"/>
            <w:vAlign w:val="bottom"/>
          </w:tcPr>
          <w:p>
            <w:pPr>
              <w:jc w:val="right"/>
              <w:ind w:right="46"/>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5"/>
              <w:spacing w:after="0"/>
              <w:rPr>
                <w:sz w:val="20"/>
                <w:szCs w:val="20"/>
                <w:color w:val="auto"/>
              </w:rPr>
            </w:pPr>
            <w:r>
              <w:rPr>
                <w:rFonts w:ascii="Arial" w:cs="Arial" w:eastAsia="Arial" w:hAnsi="Arial"/>
                <w:sz w:val="16"/>
                <w:szCs w:val="16"/>
                <w:color w:val="auto"/>
              </w:rPr>
              <w:t>19,269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6"/>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5"/>
              <w:spacing w:after="0"/>
              <w:rPr>
                <w:sz w:val="20"/>
                <w:szCs w:val="20"/>
                <w:color w:val="auto"/>
              </w:rPr>
            </w:pPr>
            <w:r>
              <w:rPr>
                <w:rFonts w:ascii="Arial" w:cs="Arial" w:eastAsia="Arial" w:hAnsi="Arial"/>
                <w:sz w:val="16"/>
                <w:szCs w:val="16"/>
                <w:color w:val="auto"/>
              </w:rPr>
              <w:t>6,921</w:t>
            </w:r>
          </w:p>
        </w:tc>
        <w:tc>
          <w:tcPr>
            <w:tcW w:w="1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3,660</w:t>
            </w:r>
          </w:p>
        </w:tc>
        <w:tc>
          <w:tcPr>
            <w:tcW w:w="1200" w:type="dxa"/>
            <w:vAlign w:val="bottom"/>
            <w:gridSpan w:val="3"/>
          </w:tcPr>
          <w:p>
            <w:pPr>
              <w:jc w:val="right"/>
              <w:ind w:right="33"/>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3,795</w:t>
            </w:r>
          </w:p>
        </w:tc>
      </w:tr>
      <w:tr>
        <w:trPr>
          <w:trHeight w:val="20"/>
        </w:trPr>
        <w:tc>
          <w:tcPr>
            <w:tcW w:w="2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163195</wp:posOffset>
            </wp:positionV>
            <wp:extent cx="1372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4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government insured residential loans modified totaling $3 million and $0.1 million during the three months ended March 31, 2019 and 2018, respectively.</w:t>
      </w:r>
    </w:p>
    <w:p>
      <w:pPr>
        <w:spacing w:after="0" w:line="13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Modifications during the three months ended March 31, 2019 and 2018 included interest rate reductions, restructuring of the amount and timing of required periodic payments, extensions of maturity and covenant waivers. Included in TDRs are residential loans to borrowers who have not reaffirmed their debt discharged in Chapter 7 bankruptcy. The total amount of such loans is not material. Modified ACI loans accounted for in pools are not considered TDRs, are not separated from the pools and are not classified as impaired loans.</w:t>
      </w:r>
    </w:p>
    <w:p>
      <w:pPr>
        <w:spacing w:after="0" w:line="200" w:lineRule="exact"/>
        <w:rPr>
          <w:sz w:val="20"/>
          <w:szCs w:val="20"/>
          <w:color w:val="auto"/>
        </w:rPr>
      </w:pPr>
    </w:p>
    <w:p>
      <w:pPr>
        <w:spacing w:after="0" w:line="28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56"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FDIC Indemnification Asset</w:t>
      </w:r>
    </w:p>
    <w:p>
      <w:pPr>
        <w:spacing w:after="0" w:line="31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following tables summarize the components of the gains and losses associated with covered assets, along with the related additions to or reductions in the amounts recoverable from the FDIC under the Loss Sharing Agreements, as reflected in the consolidated statements of income for the periods indicated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7"/>
          </w:tcPr>
          <w:p>
            <w:pPr>
              <w:jc w:val="right"/>
              <w:ind w:right="737"/>
              <w:spacing w:after="0"/>
              <w:rPr>
                <w:sz w:val="20"/>
                <w:szCs w:val="20"/>
                <w:color w:val="auto"/>
              </w:rPr>
            </w:pPr>
            <w:r>
              <w:rPr>
                <w:rFonts w:ascii="Arial" w:cs="Arial" w:eastAsia="Arial" w:hAnsi="Arial"/>
                <w:sz w:val="14"/>
                <w:szCs w:val="14"/>
                <w:b w:val="1"/>
                <w:bCs w:val="1"/>
                <w:color w:val="auto"/>
              </w:rPr>
              <w:t>Three Months Ended March 31, 2018</w:t>
            </w: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Transaction</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Loss on FDIC</w:t>
            </w:r>
          </w:p>
        </w:tc>
        <w:tc>
          <w:tcPr>
            <w:tcW w:w="200" w:type="dxa"/>
            <w:vAlign w:val="bottom"/>
          </w:tcPr>
          <w:p>
            <w:pPr>
              <w:spacing w:after="0"/>
              <w:rPr>
                <w:sz w:val="13"/>
                <w:szCs w:val="13"/>
                <w:color w:val="auto"/>
              </w:rPr>
            </w:pPr>
          </w:p>
        </w:tc>
        <w:tc>
          <w:tcPr>
            <w:tcW w:w="106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7"/>
              </w:rPr>
              <w:t>Net Impact</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3"/>
              </w:rPr>
              <w:t>on Pre-tax</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Indemnification</w:t>
            </w:r>
          </w:p>
        </w:tc>
        <w:tc>
          <w:tcPr>
            <w:tcW w:w="200" w:type="dxa"/>
            <w:vAlign w:val="bottom"/>
          </w:tcPr>
          <w:p>
            <w:pPr>
              <w:spacing w:after="0"/>
              <w:rPr>
                <w:sz w:val="16"/>
                <w:szCs w:val="16"/>
                <w:color w:val="auto"/>
              </w:rPr>
            </w:pPr>
          </w:p>
        </w:tc>
        <w:tc>
          <w:tcPr>
            <w:tcW w:w="10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Provision for losses on covered loans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resolution of covered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on sale of covered loans</w:t>
            </w:r>
          </w:p>
        </w:tc>
        <w:tc>
          <w:tcPr>
            <w:tcW w:w="1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covered OREO</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4,454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FDIC indemnification asset was amortized to zero as of December 31, 2018 as expectations of losses eligible for indemnification with respect to the remaining covered loans prior to final termination of the Single Family Shared-Loss Agreement were insignificant. The Single Family Shared-Loss Agreement was terminated on February 13, 2019.</w:t>
      </w:r>
    </w:p>
    <w:p>
      <w:pPr>
        <w:spacing w:after="0" w:line="31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Leases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under which the Company is the lessee</w:t>
      </w:r>
    </w:p>
    <w:p>
      <w:pPr>
        <w:spacing w:after="0" w:line="28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Company leases branches, office space and a small amount of equipment under operating and finance leases with terms ranging from one to 16 years, some of which include extension options.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ROU assets and lease liabilities as of March 31, 2019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4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46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90,908</w:t>
            </w:r>
          </w:p>
        </w:tc>
      </w:tr>
      <w:tr>
        <w:trPr>
          <w:trHeight w:val="27"/>
        </w:trPr>
        <w:tc>
          <w:tcPr>
            <w:tcW w:w="9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7,002</w:t>
            </w:r>
          </w:p>
        </w:tc>
      </w:tr>
      <w:tr>
        <w:trPr>
          <w:trHeight w:val="237"/>
        </w:trPr>
        <w:tc>
          <w:tcPr>
            <w:tcW w:w="94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97,910</w:t>
            </w:r>
          </w:p>
        </w:tc>
      </w:tr>
      <w:tr>
        <w:trPr>
          <w:trHeight w:val="67"/>
        </w:trPr>
        <w:tc>
          <w:tcPr>
            <w:tcW w:w="94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31"/>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43"/>
        </w:trPr>
        <w:tc>
          <w:tcPr>
            <w:tcW w:w="946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99,743</w:t>
            </w:r>
          </w:p>
        </w:tc>
      </w:tr>
      <w:tr>
        <w:trPr>
          <w:trHeight w:val="27"/>
        </w:trPr>
        <w:tc>
          <w:tcPr>
            <w:tcW w:w="9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9,145</w:t>
            </w:r>
          </w:p>
        </w:tc>
      </w:tr>
      <w:tr>
        <w:trPr>
          <w:trHeight w:val="237"/>
        </w:trPr>
        <w:tc>
          <w:tcPr>
            <w:tcW w:w="94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108,888</w:t>
            </w:r>
          </w:p>
        </w:tc>
      </w:tr>
      <w:tr>
        <w:trPr>
          <w:trHeight w:val="27"/>
        </w:trPr>
        <w:tc>
          <w:tcPr>
            <w:tcW w:w="9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9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ROU assets and lease liabilities are included in "other assets" and "other liabilities", respectively, in the accompanying Consolidated Balance Sheet.</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remaining lease term and weighted average discount rate at March 31, 2019 were:</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468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w:t>
            </w:r>
          </w:p>
        </w:tc>
        <w:tc>
          <w:tcPr>
            <w:tcW w:w="4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8.02 years</w:t>
            </w: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Finance lease</w:t>
            </w:r>
          </w:p>
        </w:tc>
        <w:tc>
          <w:tcPr>
            <w:tcW w:w="4680" w:type="dxa"/>
            <w:vAlign w:val="bottom"/>
          </w:tcPr>
          <w:p>
            <w:pPr>
              <w:jc w:val="right"/>
              <w:ind w:right="90"/>
              <w:spacing w:after="0"/>
              <w:rPr>
                <w:sz w:val="20"/>
                <w:szCs w:val="20"/>
                <w:color w:val="auto"/>
              </w:rPr>
            </w:pPr>
            <w:r>
              <w:rPr>
                <w:rFonts w:ascii="Arial" w:cs="Arial" w:eastAsia="Arial" w:hAnsi="Arial"/>
                <w:sz w:val="18"/>
                <w:szCs w:val="18"/>
                <w:color w:val="auto"/>
              </w:rPr>
              <w:t>6.52 years</w:t>
            </w:r>
          </w:p>
        </w:tc>
      </w:tr>
      <w:tr>
        <w:trPr>
          <w:trHeight w:val="27"/>
        </w:trPr>
        <w:tc>
          <w:tcPr>
            <w:tcW w:w="67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468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60"/>
              <w:spacing w:after="0"/>
              <w:rPr>
                <w:sz w:val="20"/>
                <w:szCs w:val="20"/>
                <w:color w:val="auto"/>
              </w:rPr>
            </w:pPr>
            <w:r>
              <w:rPr>
                <w:rFonts w:ascii="Arial" w:cs="Arial" w:eastAsia="Arial" w:hAnsi="Arial"/>
                <w:sz w:val="18"/>
                <w:szCs w:val="18"/>
                <w:color w:val="auto"/>
              </w:rPr>
              <w:t>Operating lease</w:t>
            </w:r>
          </w:p>
        </w:tc>
        <w:tc>
          <w:tcPr>
            <w:tcW w:w="46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670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43"/>
        </w:trPr>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67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5"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56" w:right="239" w:bottom="15" w:gutter="0" w:footer="0" w:header="0"/>
          <w:type w:val="continuous"/>
        </w:sectPr>
      </w:pPr>
    </w:p>
    <w:bookmarkStart w:id="27" w:name="page28"/>
    <w:bookmarkEnd w:id="2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360" w:right="26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for the period indicated were (in thousands):</w:t>
      </w:r>
    </w:p>
    <w:p>
      <w:pPr>
        <w:spacing w:after="0" w:line="200" w:lineRule="exact"/>
        <w:rPr>
          <w:sz w:val="20"/>
          <w:szCs w:val="20"/>
          <w:color w:val="auto"/>
        </w:rPr>
      </w:pPr>
    </w:p>
    <w:p>
      <w:pPr>
        <w:spacing w:after="0" w:line="233" w:lineRule="exact"/>
        <w:rPr>
          <w:sz w:val="20"/>
          <w:szCs w:val="20"/>
          <w:color w:val="auto"/>
        </w:rPr>
      </w:pPr>
    </w:p>
    <w:p>
      <w:pPr>
        <w:jc w:val="center"/>
        <w:ind w:left="9460"/>
        <w:spacing w:after="0"/>
        <w:rPr>
          <w:sz w:val="20"/>
          <w:szCs w:val="20"/>
          <w:color w:val="auto"/>
        </w:rPr>
      </w:pPr>
      <w:r>
        <w:rPr>
          <w:rFonts w:ascii="Arial" w:cs="Arial" w:eastAsia="Arial" w:hAnsi="Arial"/>
          <w:sz w:val="13"/>
          <w:szCs w:val="13"/>
          <w:b w:val="1"/>
          <w:bCs w:val="1"/>
          <w:color w:val="auto"/>
        </w:rPr>
        <w:t>Three Months Ended March</w:t>
      </w:r>
    </w:p>
    <w:p>
      <w:pPr>
        <w:spacing w:after="0" w:line="15"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7" w:lineRule="exact"/>
        <w:rPr>
          <w:sz w:val="20"/>
          <w:szCs w:val="20"/>
          <w:color w:val="auto"/>
        </w:rPr>
      </w:pPr>
    </w:p>
    <w:p>
      <w:pPr>
        <w:ind w:left="40"/>
        <w:spacing w:after="0"/>
        <w:tabs>
          <w:tab w:leader="none" w:pos="9480" w:val="left"/>
          <w:tab w:leader="none" w:pos="10880" w:val="left"/>
        </w:tabs>
        <w:rPr>
          <w:sz w:val="20"/>
          <w:szCs w:val="20"/>
          <w:color w:val="auto"/>
        </w:rPr>
      </w:pPr>
      <w:r>
        <w:rPr>
          <w:rFonts w:ascii="Arial" w:cs="Arial" w:eastAsia="Arial" w:hAnsi="Arial"/>
          <w:sz w:val="18"/>
          <w:szCs w:val="18"/>
          <w:color w:val="auto"/>
        </w:rPr>
        <w:t>Operating lease cost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238125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256" w:right="25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lease cost: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on lease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finance lease cost</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Short-term lease cost, variable lease cost, and sublease income were immaterial for the three months ended March 31, 2019.</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related to operating and finance leases for the period indicated follows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0"/>
        </w:trPr>
        <w:tc>
          <w:tcPr>
            <w:tcW w:w="8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605</w:t>
            </w:r>
          </w:p>
        </w:tc>
      </w:tr>
      <w:tr>
        <w:trPr>
          <w:trHeight w:val="27"/>
        </w:trPr>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148" w:lineRule="exact"/>
        <w:rPr>
          <w:sz w:val="20"/>
          <w:szCs w:val="20"/>
          <w:color w:val="auto"/>
        </w:rPr>
      </w:pPr>
    </w:p>
    <w:p>
      <w:pPr>
        <w:sectPr>
          <w:pgSz w:w="11900" w:h="16838" w:orient="portrait"/>
          <w:cols w:equalWidth="0" w:num="2">
            <w:col w:w="9260" w:space="220"/>
            <w:col w:w="1920"/>
          </w:cols>
          <w:pgMar w:left="240" w:top="256" w:right="259" w:bottom="1440" w:gutter="0" w:footer="0" w:header="0"/>
          <w:type w:val="continuous"/>
        </w:sectPr>
      </w:pPr>
    </w:p>
    <w:p>
      <w:pPr>
        <w:spacing w:after="0" w:line="314" w:lineRule="exact"/>
        <w:rPr>
          <w:sz w:val="20"/>
          <w:szCs w:val="20"/>
          <w:color w:val="auto"/>
        </w:rPr>
      </w:pPr>
    </w:p>
    <w:p>
      <w:pPr>
        <w:jc w:val="center"/>
        <w:ind w:left="9460"/>
        <w:spacing w:after="0"/>
        <w:rPr>
          <w:sz w:val="20"/>
          <w:szCs w:val="20"/>
          <w:color w:val="auto"/>
        </w:rPr>
      </w:pPr>
      <w:r>
        <w:rPr>
          <w:rFonts w:ascii="Arial" w:cs="Arial" w:eastAsia="Arial" w:hAnsi="Arial"/>
          <w:sz w:val="13"/>
          <w:szCs w:val="13"/>
          <w:b w:val="1"/>
          <w:bCs w:val="1"/>
          <w:color w:val="auto"/>
        </w:rPr>
        <w:t>Three Months Ended March</w:t>
      </w:r>
    </w:p>
    <w:p>
      <w:pPr>
        <w:spacing w:after="0" w:line="15"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00"/>
          </w:cols>
          <w:pgMar w:left="240" w:top="256" w:right="259" w:bottom="1440" w:gutter="0" w:footer="0" w:header="0"/>
          <w:type w:val="continuous"/>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from operating leases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443865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 liabilities recognized from obtaining ROU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Operating lease liabilities recognized upon adoption of ASC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39370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0"/>
        </w:trPr>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5,143</w:t>
            </w:r>
          </w:p>
        </w:tc>
      </w:tr>
      <w:tr>
        <w:trPr>
          <w:trHeight w:val="270"/>
        </w:trPr>
        <w:tc>
          <w:tcPr>
            <w:tcW w:w="7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735</w:t>
            </w:r>
          </w:p>
        </w:tc>
      </w:tr>
      <w:tr>
        <w:trPr>
          <w:trHeight w:val="27"/>
        </w:trPr>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6,133</w:t>
            </w:r>
          </w:p>
        </w:tc>
      </w:tr>
      <w:tr>
        <w:trPr>
          <w:trHeight w:val="27"/>
        </w:trPr>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hanging="1218"/>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104,064</w:t>
      </w:r>
    </w:p>
    <w:p>
      <w:pPr>
        <w:spacing w:after="0" w:line="6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1,521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12261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1240" w:hanging="1218"/>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105,585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1226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48895</wp:posOffset>
            </wp:positionV>
            <wp:extent cx="12261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0" w:space="720"/>
            <w:col w:w="1920"/>
          </w:cols>
          <w:pgMar w:left="240" w:top="256" w:right="259" w:bottom="1440" w:gutter="0" w:footer="0" w:header="0"/>
          <w:type w:val="continuous"/>
        </w:sectPr>
      </w:pPr>
    </w:p>
    <w:p>
      <w:pPr>
        <w:spacing w:after="0" w:line="36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Future lease payment obligations under leases with terms in excess of one year and a reconciliation to lease liabilities as of March 31, 2019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Finance Leases</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50"/>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2019 (excluding the three months ending March 31, 2019)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15,503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16,911</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19,667</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15,472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17,986</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14,274</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10,422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12,546</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46,374</w:t>
            </w:r>
          </w:p>
        </w:tc>
      </w:tr>
      <w:tr>
        <w:trPr>
          <w:trHeight w:val="237"/>
        </w:trPr>
        <w:tc>
          <w:tcPr>
            <w:tcW w:w="7060" w:type="dxa"/>
            <w:vAlign w:val="bottom"/>
          </w:tcPr>
          <w:p>
            <w:pPr>
              <w:ind w:left="160"/>
              <w:spacing w:after="0"/>
              <w:rPr>
                <w:sz w:val="20"/>
                <w:szCs w:val="20"/>
                <w:color w:val="auto"/>
              </w:rPr>
            </w:pPr>
            <w:r>
              <w:rPr>
                <w:rFonts w:ascii="Arial" w:cs="Arial" w:eastAsia="Arial" w:hAnsi="Arial"/>
                <w:sz w:val="18"/>
                <w:szCs w:val="18"/>
                <w:color w:val="auto"/>
              </w:rPr>
              <w:t>Total future minimum lease payments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114,378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127,758</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interest component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(18,870)</w:t>
            </w:r>
          </w:p>
        </w:tc>
      </w:tr>
      <w:tr>
        <w:trPr>
          <w:trHeight w:val="257"/>
        </w:trPr>
        <w:tc>
          <w:tcPr>
            <w:tcW w:w="7060" w:type="dxa"/>
            <w:vAlign w:val="bottom"/>
          </w:tcPr>
          <w:p>
            <w:pPr>
              <w:ind w:left="280"/>
              <w:spacing w:after="0"/>
              <w:rPr>
                <w:sz w:val="20"/>
                <w:szCs w:val="20"/>
                <w:color w:val="auto"/>
              </w:rPr>
            </w:pPr>
            <w:r>
              <w:rPr>
                <w:rFonts w:ascii="Arial" w:cs="Arial" w:eastAsia="Arial" w:hAnsi="Arial"/>
                <w:sz w:val="18"/>
                <w:szCs w:val="18"/>
                <w:color w:val="auto"/>
              </w:rPr>
              <w:t>Lease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99,743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9,145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108,888</w:t>
            </w: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56" w:right="259" w:bottom="1440" w:gutter="0" w:footer="0" w:header="0"/>
          <w:type w:val="continuous"/>
        </w:sectPr>
      </w:pPr>
    </w:p>
    <w:p>
      <w:pPr>
        <w:spacing w:after="0" w:line="29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256" w:right="259" w:bottom="1440" w:gutter="0" w:footer="0" w:header="0"/>
          <w:type w:val="continuous"/>
        </w:sectPr>
      </w:pPr>
    </w:p>
    <w:bookmarkStart w:id="28" w:name="page29"/>
    <w:bookmarkEnd w:id="2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of December 31, 2018, future minimum rentals under non-cancelable operating leases with initial or remaining terms in excess of one year were as follows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Years ending December 31:</w:t>
            </w: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2019</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21,207</w:t>
            </w:r>
          </w:p>
        </w:tc>
      </w:tr>
      <w:tr>
        <w:trPr>
          <w:trHeight w:val="27"/>
        </w:trPr>
        <w:tc>
          <w:tcPr>
            <w:tcW w:w="9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2021</w:t>
            </w:r>
          </w:p>
        </w:tc>
        <w:tc>
          <w:tcPr>
            <w:tcW w:w="6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15,858</w:t>
            </w:r>
          </w:p>
        </w:tc>
      </w:tr>
      <w:tr>
        <w:trPr>
          <w:trHeight w:val="27"/>
        </w:trPr>
        <w:tc>
          <w:tcPr>
            <w:tcW w:w="9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10,311</w:t>
            </w:r>
          </w:p>
        </w:tc>
      </w:tr>
      <w:tr>
        <w:trPr>
          <w:trHeight w:val="27"/>
        </w:trPr>
        <w:tc>
          <w:tcPr>
            <w:tcW w:w="9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 through 2034</w:t>
            </w:r>
          </w:p>
        </w:tc>
        <w:tc>
          <w:tcPr>
            <w:tcW w:w="6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42,984</w:t>
            </w:r>
          </w:p>
        </w:tc>
      </w:tr>
      <w:tr>
        <w:trPr>
          <w:trHeight w:val="237"/>
        </w:trPr>
        <w:tc>
          <w:tcPr>
            <w:tcW w:w="948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120,103</w:t>
            </w:r>
          </w:p>
        </w:tc>
      </w:tr>
      <w:tr>
        <w:trPr>
          <w:trHeight w:val="27"/>
        </w:trPr>
        <w:tc>
          <w:tcPr>
            <w:tcW w:w="94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under which the Company is the lessor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Through its commercial lending subsidiaries, Pinnacle and Bridge, the Bank provides equipment financing using a variety of loan and lease structures.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Pinnacle provides essential use equipment financing to state and local governmental entities. Bridge provides primarily transportation equipment financing.</w:t>
      </w:r>
    </w:p>
    <w:p>
      <w:pPr>
        <w:spacing w:after="0" w:line="28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table presents the components of the investment in direct or sales type financing leases, included in loans in the Consolidated Balance Sheet, as of March 31, 2019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Total minimum lease payments to be received</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811,463</w:t>
            </w:r>
          </w:p>
        </w:tc>
      </w:tr>
      <w:tr>
        <w:trPr>
          <w:trHeight w:val="27"/>
        </w:trPr>
        <w:tc>
          <w:tcPr>
            <w:tcW w:w="9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unguaranteed residual value of leased assets</w:t>
            </w:r>
          </w:p>
        </w:tc>
        <w:tc>
          <w:tcPr>
            <w:tcW w:w="6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8,263</w:t>
            </w:r>
          </w:p>
        </w:tc>
      </w:tr>
      <w:tr>
        <w:trPr>
          <w:trHeight w:val="237"/>
        </w:trPr>
        <w:tc>
          <w:tcPr>
            <w:tcW w:w="9480" w:type="dxa"/>
            <w:vAlign w:val="bottom"/>
          </w:tcPr>
          <w:p>
            <w:pPr>
              <w:ind w:left="180"/>
              <w:spacing w:after="0"/>
              <w:rPr>
                <w:sz w:val="20"/>
                <w:szCs w:val="20"/>
                <w:color w:val="auto"/>
              </w:rPr>
            </w:pPr>
            <w:r>
              <w:rPr>
                <w:rFonts w:ascii="Arial" w:cs="Arial" w:eastAsia="Arial" w:hAnsi="Arial"/>
                <w:sz w:val="18"/>
                <w:szCs w:val="18"/>
                <w:color w:val="auto"/>
              </w:rPr>
              <w:t>Gross investment in direct or sales type financing leases</w:t>
            </w:r>
          </w:p>
        </w:tc>
        <w:tc>
          <w:tcPr>
            <w:tcW w:w="6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819,726</w:t>
            </w:r>
          </w:p>
        </w:tc>
      </w:tr>
      <w:tr>
        <w:trPr>
          <w:trHeight w:val="27"/>
        </w:trPr>
        <w:tc>
          <w:tcPr>
            <w:tcW w:w="9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income</w:t>
            </w:r>
          </w:p>
        </w:tc>
        <w:tc>
          <w:tcPr>
            <w:tcW w:w="6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(81,564)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Initial direct costs</w:t>
            </w:r>
          </w:p>
        </w:tc>
        <w:tc>
          <w:tcPr>
            <w:tcW w:w="6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4,897</w:t>
            </w:r>
          </w:p>
        </w:tc>
      </w:tr>
      <w:tr>
        <w:trPr>
          <w:trHeight w:val="27"/>
        </w:trPr>
        <w:tc>
          <w:tcPr>
            <w:tcW w:w="94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743,059</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2019, future minimum lease payments to be received under direct or sales type financing leases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Years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2019 (excluding the three months ending March 31, 2019)</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162,123</w:t>
            </w:r>
          </w:p>
        </w:tc>
      </w:tr>
      <w:tr>
        <w:trPr>
          <w:trHeight w:val="27"/>
        </w:trPr>
        <w:tc>
          <w:tcPr>
            <w:tcW w:w="9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176,848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2021</w:t>
            </w:r>
          </w:p>
        </w:tc>
        <w:tc>
          <w:tcPr>
            <w:tcW w:w="6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116,382</w:t>
            </w:r>
          </w:p>
        </w:tc>
      </w:tr>
      <w:tr>
        <w:trPr>
          <w:trHeight w:val="27"/>
        </w:trPr>
        <w:tc>
          <w:tcPr>
            <w:tcW w:w="9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76,074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60,753</w:t>
            </w:r>
          </w:p>
        </w:tc>
      </w:tr>
      <w:tr>
        <w:trPr>
          <w:trHeight w:val="27"/>
        </w:trPr>
        <w:tc>
          <w:tcPr>
            <w:tcW w:w="9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219,283</w:t>
            </w:r>
          </w:p>
        </w:tc>
      </w:tr>
      <w:tr>
        <w:trPr>
          <w:trHeight w:val="237"/>
        </w:trPr>
        <w:tc>
          <w:tcPr>
            <w:tcW w:w="948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811,463</w:t>
            </w:r>
          </w:p>
        </w:tc>
      </w:tr>
      <w:tr>
        <w:trPr>
          <w:trHeight w:val="27"/>
        </w:trPr>
        <w:tc>
          <w:tcPr>
            <w:tcW w:w="94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56"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Equipment under operating lease consists primarily of railcars, non-commercial aircraft and other transportation equipment leased to commercial end users. Original lease terms generally range from three to ten years. Asset risk is evaluated and managed by a dedicated internal staff of seasoned equipment finance professionals with a broad depth and breadth of experience in the leasing business. Additionally, we have partnered with an industry leading, experienced service provider who provides fleet management and servicing relating to the railcar fleet. Residual risk is managed by setting appropriate residual values at inception and systematic reviews of residual values based on independent appraisals, performed at least annually. We endeavor to lease to a stable end-user base, maintain a relatively young and diversified fleet of assets and stagger lease maturities.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2019, scheduled minimum rental payments under operating leases were as follows (in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Years Ending December 31:</w:t>
            </w: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 (excluding the three months ending March 31, 2019)</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50,346</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61,981</w:t>
            </w:r>
          </w:p>
        </w:tc>
      </w:tr>
      <w:tr>
        <w:trPr>
          <w:trHeight w:val="243"/>
        </w:trPr>
        <w:tc>
          <w:tcPr>
            <w:tcW w:w="9940" w:type="dxa"/>
            <w:vAlign w:val="bottom"/>
          </w:tcPr>
          <w:p>
            <w:pPr>
              <w:ind w:left="40"/>
              <w:spacing w:after="0"/>
              <w:rPr>
                <w:sz w:val="20"/>
                <w:szCs w:val="20"/>
                <w:color w:val="auto"/>
              </w:rPr>
            </w:pPr>
            <w:r>
              <w:rPr>
                <w:rFonts w:ascii="Arial" w:cs="Arial" w:eastAsia="Arial" w:hAnsi="Arial"/>
                <w:sz w:val="16"/>
                <w:szCs w:val="16"/>
                <w:color w:val="auto"/>
              </w:rPr>
              <w:t>2021</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52,537</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45,489</w:t>
            </w:r>
          </w:p>
        </w:tc>
      </w:tr>
      <w:tr>
        <w:trPr>
          <w:trHeight w:val="243"/>
        </w:trPr>
        <w:tc>
          <w:tcPr>
            <w:tcW w:w="9940" w:type="dxa"/>
            <w:vAlign w:val="bottom"/>
          </w:tcPr>
          <w:p>
            <w:pPr>
              <w:ind w:left="40"/>
              <w:spacing w:after="0"/>
              <w:rPr>
                <w:sz w:val="20"/>
                <w:szCs w:val="20"/>
                <w:color w:val="auto"/>
              </w:rPr>
            </w:pPr>
            <w:r>
              <w:rPr>
                <w:rFonts w:ascii="Arial" w:cs="Arial" w:eastAsia="Arial" w:hAnsi="Arial"/>
                <w:sz w:val="16"/>
                <w:szCs w:val="16"/>
                <w:color w:val="auto"/>
              </w:rPr>
              <w:t>2023</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37,121</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 through 2033</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101,645</w:t>
            </w:r>
          </w:p>
        </w:tc>
      </w:tr>
      <w:tr>
        <w:trPr>
          <w:trHeight w:val="237"/>
        </w:trPr>
        <w:tc>
          <w:tcPr>
            <w:tcW w:w="994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349,119</w:t>
            </w:r>
          </w:p>
        </w:tc>
      </w:tr>
      <w:tr>
        <w:trPr>
          <w:trHeight w:val="27"/>
        </w:trPr>
        <w:tc>
          <w:tcPr>
            <w:tcW w:w="9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income recognized for operating leases and direct or sales type finance leases follows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Three Months Ended March 31,</w:t>
            </w:r>
          </w:p>
        </w:tc>
        <w:tc>
          <w:tcPr>
            <w:tcW w:w="220" w:type="dxa"/>
            <w:vAlign w:val="bottom"/>
          </w:tcPr>
          <w:p>
            <w:pPr>
              <w:spacing w:after="0"/>
              <w:rPr>
                <w:sz w:val="14"/>
                <w:szCs w:val="14"/>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of Lease Income on Consolidated Statements of</w:t>
            </w:r>
          </w:p>
        </w:tc>
      </w:tr>
      <w:tr>
        <w:trPr>
          <w:trHeight w:val="192"/>
        </w:trPr>
        <w:tc>
          <w:tcPr>
            <w:tcW w:w="51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17,186</w:t>
            </w:r>
          </w:p>
        </w:tc>
        <w:tc>
          <w:tcPr>
            <w:tcW w:w="2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Non-interest income from lease financing</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Direct or sales type finance leases</w:t>
            </w:r>
          </w:p>
        </w:tc>
        <w:tc>
          <w:tcPr>
            <w:tcW w:w="5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5,311</w:t>
            </w:r>
          </w:p>
        </w:tc>
        <w:tc>
          <w:tcPr>
            <w:tcW w:w="2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Interest income on loans</w:t>
            </w:r>
          </w:p>
        </w:tc>
      </w:tr>
      <w:tr>
        <w:trPr>
          <w:trHeight w:val="27"/>
        </w:trPr>
        <w:tc>
          <w:tcPr>
            <w:tcW w:w="5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income</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22,497</w:t>
            </w:r>
          </w:p>
        </w:tc>
        <w:tc>
          <w:tcPr>
            <w:tcW w:w="2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Income Taxes</w:t>
      </w:r>
    </w:p>
    <w:p>
      <w:pPr>
        <w:spacing w:after="0" w:line="28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Company’s effective income tax rate was 26.8% and 23.1% for the three months ended March 31, 2019 and 2018, respectively. The effective income tax rate differed from the statutory federal income tax rate of 21% for the three months ended March 31, 2019 and 2018 due primarily to income not subject to tax, offset by state income taxes.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Derivatives and Hedging Activities</w:t>
      </w:r>
    </w:p>
    <w:p>
      <w:pPr>
        <w:spacing w:after="0" w:line="31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uses interest rate swaps to manage interest rate risk related to liabilities that expose the Company to variability in cash flows due to changes in interest rates. The Company enters into LIBOR-based interest rate swaps that are designated as cash flow hedges with the objective of limiting the variability of interest payment cash flows resulting from changes in the benchmark interest rate LIBOR. Changes in the fair value of interest rate swaps designated as cash flow hedging instruments are reported in AOCI and subsequently reclassified into interest expense in the same period in which the related interest on the floating-rate debt obligations affects earnings.</w:t>
      </w:r>
    </w:p>
    <w:p>
      <w:pPr>
        <w:spacing w:after="0" w:line="24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also enters into interest rate derivative contracts with certain of its commercial borrowers to enable those borrowers to manage their exposure to interest rate fluctuations. To mitigate interest rate risk associated with these derivative contracts, the Company enters into offsetting derivative contract positions with primary dealers. These interest rate derivative contracts are not designated as hedging instruments; therefore, changes in the fair value of these derivatives are recognized immediately in earnings. The impact on earnings related to changes in fair value of these derivatives for the three months ended March 31, 2019 and 2018 was not material.</w:t>
      </w:r>
    </w:p>
    <w:p>
      <w:pPr>
        <w:spacing w:after="0" w:line="242"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The Company may be exposed to credit risk in the event of non-performance by the counterparties to its interest rate derivative agreements. The Company assesses the credit risk of its financial institution counterparties by monitoring publicly available credit rating and financial information. The Company manages dealer credit risk by entering into interest rate</w:t>
      </w:r>
    </w:p>
    <w:p>
      <w:pPr>
        <w:sectPr>
          <w:pgSz w:w="11900" w:h="16838" w:orient="portrait"/>
          <w:cols w:equalWidth="0" w:num="1">
            <w:col w:w="11420"/>
          </w:cols>
          <w:pgMar w:left="240" w:top="256" w:right="239" w:bottom="987"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256" w:right="239" w:bottom="987" w:gutter="0" w:footer="0" w:header="0"/>
          <w:type w:val="continuous"/>
        </w:sectPr>
      </w:pPr>
    </w:p>
    <w:bookmarkStart w:id="30" w:name="page31"/>
    <w:bookmarkEnd w:id="3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derivatives only with primary and highly rated counterparties, the use of ISDA master agreements, central clearing mechanisms and counterparty limits. The agreements contain bilateral collateral arrangements with the amount of collateral to be posted generally governed by the settlement value of outstanding swaps. The Company manages the risk of default by its borrower counterparties through its normal loan underwriting and credit monitoring policies and procedures. The Company does not currently anticipate any losses from failure of interest rate derivative counterparties to honor their obligations.</w:t>
      </w:r>
    </w:p>
    <w:p>
      <w:pPr>
        <w:spacing w:after="0" w:line="20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CME legally characterizes variation margin payments for centrally cleared derivatives as settlements of the derivatives' exposures rather than collateral. As a result, the variation margin payment and the related derivative instruments are considered a single unit of account for accounting and financial reporting purposes. The Company's clearing agent for interest rate derivative contracts centrally cleared through the CME settles the variation margin daily with the CME; therefore, those interest rate derivative contracts the Company clears through the CME are reported at a fair value of approximately zero at March 31, 2019 and December 31, 2018.</w:t>
      </w:r>
    </w:p>
    <w:p>
      <w:pPr>
        <w:spacing w:after="0" w:line="24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tables set forth certain information concerning the Company’s interest rate contract derivative financial instruments and related hedged items at the dates indicated (dollars in thousands):</w:t>
      </w:r>
    </w:p>
    <w:p>
      <w:pPr>
        <w:spacing w:after="0" w:line="387"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37465</wp:posOffset>
            </wp:positionV>
            <wp:extent cx="6080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Weighted</w:t>
            </w:r>
          </w:p>
        </w:tc>
        <w:tc>
          <w:tcPr>
            <w:tcW w:w="12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4"/>
          </w:tcPr>
          <w:p>
            <w:pPr>
              <w:jc w:val="right"/>
              <w:ind w:right="548"/>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4"/>
                <w:szCs w:val="4"/>
                <w:color w:val="auto"/>
              </w:rPr>
            </w:pPr>
          </w:p>
        </w:tc>
        <w:tc>
          <w:tcPr>
            <w:tcW w:w="78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9"/>
              </w:rPr>
              <w:t>Notional</w:t>
            </w:r>
          </w:p>
        </w:tc>
        <w:tc>
          <w:tcPr>
            <w:tcW w:w="100" w:type="dxa"/>
            <w:vAlign w:val="bottom"/>
            <w:vMerge w:val="restart"/>
          </w:tcPr>
          <w:p>
            <w:pPr>
              <w:spacing w:after="0"/>
              <w:rPr>
                <w:sz w:val="4"/>
                <w:szCs w:val="4"/>
                <w:color w:val="auto"/>
              </w:rPr>
            </w:pPr>
          </w:p>
        </w:tc>
        <w:tc>
          <w:tcPr>
            <w:tcW w:w="1340" w:type="dxa"/>
            <w:vAlign w:val="bottom"/>
            <w:gridSpan w:val="2"/>
            <w:vMerge w:val="restart"/>
          </w:tcPr>
          <w:p>
            <w:pPr>
              <w:ind w:left="200"/>
              <w:spacing w:after="0" w:line="139"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840" w:type="dxa"/>
            <w:vAlign w:val="bottom"/>
          </w:tcPr>
          <w:p>
            <w:pPr>
              <w:spacing w:after="0"/>
              <w:rPr>
                <w:sz w:val="5"/>
                <w:szCs w:val="5"/>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Hedged Item</w:t>
            </w:r>
          </w:p>
        </w:tc>
        <w:tc>
          <w:tcPr>
            <w:tcW w:w="1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5"/>
                <w:szCs w:val="5"/>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Pay Rate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Receive Rate</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in Years</w:t>
            </w:r>
          </w:p>
        </w:tc>
        <w:tc>
          <w:tcPr>
            <w:tcW w:w="14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1"/>
              </w:rPr>
              <w:t>Derivatives designated as cash</w:t>
            </w:r>
          </w:p>
        </w:tc>
        <w:tc>
          <w:tcPr>
            <w:tcW w:w="1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flow hedges:</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720" w:type="dxa"/>
            <w:vAlign w:val="bottom"/>
          </w:tcPr>
          <w:p>
            <w:pPr>
              <w:jc w:val="center"/>
              <w:spacing w:after="0" w:line="157" w:lineRule="exact"/>
              <w:rPr>
                <w:sz w:val="20"/>
                <w:szCs w:val="20"/>
                <w:color w:val="auto"/>
              </w:rPr>
            </w:pPr>
            <w:r>
              <w:rPr>
                <w:rFonts w:ascii="Arial" w:cs="Arial" w:eastAsia="Arial" w:hAnsi="Arial"/>
                <w:sz w:val="14"/>
                <w:szCs w:val="14"/>
                <w:color w:val="auto"/>
                <w:w w:val="95"/>
              </w:rPr>
              <w:t>Variability of interest cash</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color w:val="auto"/>
              </w:rPr>
              <w:t>Pay-fixed interest rate</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3"/>
              </w:rPr>
              <w:t>flows on variable rate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assets / 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borrowings</w:t>
            </w: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2.43%</w:t>
            </w:r>
          </w:p>
        </w:tc>
        <w:tc>
          <w:tcPr>
            <w:tcW w:w="12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3-Month Libor</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2,701,000</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Derivatives not designated as</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hedges:</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rPr>
              <w:t>Pay-fixed interest rate</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2"/>
              </w:rPr>
              <w:t>Indexed to 1-</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Other assets / Other</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tcPr>
          <w:p>
            <w:pPr>
              <w:spacing w:after="0"/>
              <w:rPr>
                <w:sz w:val="16"/>
                <w:szCs w:val="16"/>
                <w:color w:val="auto"/>
              </w:rPr>
            </w:pP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4.11%</w:t>
            </w: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month Libor</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1,038,701</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8,201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(8,063)</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Pay-variable interest rate</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Indexed to 1-</w:t>
            </w: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 / Other</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month Libor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4.11%</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1,038,701</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(8,685)</w:t>
            </w: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w w:val="90"/>
              </w:rPr>
              <w:t>Interest rate caps purchased,</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w w:val="95"/>
              </w:rPr>
              <w:t>indexed to 1-month Libor</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3.44%</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98,129</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caps sold,</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5"/>
              </w:rPr>
              <w:t>indexed to 1-month Libor</w:t>
            </w:r>
          </w:p>
        </w:tc>
        <w:tc>
          <w:tcPr>
            <w:tcW w:w="17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3.44%</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98,129</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4,974,660</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26,850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(16,748)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56"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98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37465</wp:posOffset>
            </wp:positionV>
            <wp:extent cx="6080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8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Weighted</w:t>
            </w:r>
          </w:p>
        </w:tc>
        <w:tc>
          <w:tcPr>
            <w:tcW w:w="12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4"/>
          </w:tcPr>
          <w:p>
            <w:pPr>
              <w:jc w:val="right"/>
              <w:ind w:right="548"/>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0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vMerge w:val="restart"/>
          </w:tcPr>
          <w:p>
            <w:pPr>
              <w:jc w:val="center"/>
              <w:ind w:right="140"/>
              <w:spacing w:after="0" w:line="13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4"/>
                <w:szCs w:val="4"/>
                <w:color w:val="auto"/>
              </w:rPr>
            </w:pPr>
          </w:p>
        </w:tc>
        <w:tc>
          <w:tcPr>
            <w:tcW w:w="78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9"/>
              </w:rPr>
              <w:t>Notional</w:t>
            </w:r>
          </w:p>
        </w:tc>
        <w:tc>
          <w:tcPr>
            <w:tcW w:w="100" w:type="dxa"/>
            <w:vAlign w:val="bottom"/>
            <w:vMerge w:val="restart"/>
          </w:tcPr>
          <w:p>
            <w:pPr>
              <w:spacing w:after="0"/>
              <w:rPr>
                <w:sz w:val="4"/>
                <w:szCs w:val="4"/>
                <w:color w:val="auto"/>
              </w:rPr>
            </w:pPr>
          </w:p>
        </w:tc>
        <w:tc>
          <w:tcPr>
            <w:tcW w:w="1340" w:type="dxa"/>
            <w:vAlign w:val="bottom"/>
            <w:gridSpan w:val="2"/>
            <w:vMerge w:val="restart"/>
          </w:tcPr>
          <w:p>
            <w:pPr>
              <w:ind w:left="200"/>
              <w:spacing w:after="0" w:line="139"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840" w:type="dxa"/>
            <w:vAlign w:val="bottom"/>
          </w:tcPr>
          <w:p>
            <w:pPr>
              <w:spacing w:after="0"/>
              <w:rPr>
                <w:sz w:val="5"/>
                <w:szCs w:val="5"/>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Hedged Item</w:t>
            </w:r>
          </w:p>
        </w:tc>
        <w:tc>
          <w:tcPr>
            <w:tcW w:w="12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5"/>
                <w:szCs w:val="5"/>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Pay Rate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Receive Rate</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in Years</w:t>
            </w:r>
          </w:p>
        </w:tc>
        <w:tc>
          <w:tcPr>
            <w:tcW w:w="14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1"/>
              </w:rPr>
              <w:t>Derivatives designated as cash</w:t>
            </w:r>
          </w:p>
        </w:tc>
        <w:tc>
          <w:tcPr>
            <w:tcW w:w="1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flow hedges:</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720" w:type="dxa"/>
            <w:vAlign w:val="bottom"/>
          </w:tcPr>
          <w:p>
            <w:pPr>
              <w:jc w:val="center"/>
              <w:spacing w:after="0" w:line="157" w:lineRule="exact"/>
              <w:rPr>
                <w:sz w:val="20"/>
                <w:szCs w:val="20"/>
                <w:color w:val="auto"/>
              </w:rPr>
            </w:pPr>
            <w:r>
              <w:rPr>
                <w:rFonts w:ascii="Arial" w:cs="Arial" w:eastAsia="Arial" w:hAnsi="Arial"/>
                <w:sz w:val="14"/>
                <w:szCs w:val="14"/>
                <w:color w:val="auto"/>
                <w:w w:val="95"/>
              </w:rPr>
              <w:t>Variability of interest cash</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180"/>
              <w:spacing w:after="0" w:line="149" w:lineRule="exact"/>
              <w:rPr>
                <w:sz w:val="20"/>
                <w:szCs w:val="20"/>
                <w:color w:val="auto"/>
              </w:rPr>
            </w:pPr>
            <w:r>
              <w:rPr>
                <w:rFonts w:ascii="Arial" w:cs="Arial" w:eastAsia="Arial" w:hAnsi="Arial"/>
                <w:sz w:val="14"/>
                <w:szCs w:val="14"/>
                <w:color w:val="auto"/>
              </w:rPr>
              <w:t>Pay-fixed interest rate</w:t>
            </w: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3"/>
              </w:rPr>
              <w:t>flows on variable rate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assets / 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tcPr>
          <w:p>
            <w:pPr>
              <w:jc w:val="center"/>
              <w:spacing w:after="0"/>
              <w:rPr>
                <w:sz w:val="20"/>
                <w:szCs w:val="20"/>
                <w:color w:val="auto"/>
              </w:rPr>
            </w:pPr>
            <w:r>
              <w:rPr>
                <w:rFonts w:ascii="Arial" w:cs="Arial" w:eastAsia="Arial" w:hAnsi="Arial"/>
                <w:sz w:val="14"/>
                <w:szCs w:val="14"/>
                <w:color w:val="auto"/>
                <w:w w:val="96"/>
              </w:rPr>
              <w:t>borrowings</w:t>
            </w: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2.38%</w:t>
            </w:r>
          </w:p>
        </w:tc>
        <w:tc>
          <w:tcPr>
            <w:tcW w:w="12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3-Month Libor</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4.0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2,846,000</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3,405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Derivatives not designated as</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hedges:</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rPr>
              <w:t>Pay-fixed interest rate</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2"/>
              </w:rPr>
              <w:t>Indexed to 1-</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Other assets / Other</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tcPr>
          <w:p>
            <w:pPr>
              <w:spacing w:after="0"/>
              <w:rPr>
                <w:sz w:val="16"/>
                <w:szCs w:val="16"/>
                <w:color w:val="auto"/>
              </w:rPr>
            </w:pPr>
          </w:p>
        </w:tc>
        <w:tc>
          <w:tcPr>
            <w:tcW w:w="104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4.10%</w:t>
            </w: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month Libor</w:t>
            </w: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1,048,196</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14,883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(6,991)</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Pay-variable interest rate</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Indexed to 1-</w:t>
            </w: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 / Other</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swaps</w:t>
            </w: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month Libor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4.10%</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1,048,196</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(16,874)</w:t>
            </w:r>
          </w:p>
        </w:tc>
        <w:tc>
          <w:tcPr>
            <w:tcW w:w="0" w:type="dxa"/>
            <w:vAlign w:val="bottom"/>
          </w:tcPr>
          <w:p>
            <w:pPr>
              <w:spacing w:after="0"/>
              <w:rPr>
                <w:sz w:val="1"/>
                <w:szCs w:val="1"/>
                <w:color w:val="auto"/>
              </w:rPr>
            </w:pPr>
          </w:p>
        </w:tc>
      </w:tr>
      <w:tr>
        <w:trPr>
          <w:trHeight w:val="157"/>
        </w:trPr>
        <w:tc>
          <w:tcPr>
            <w:tcW w:w="1840" w:type="dxa"/>
            <w:vAlign w:val="bottom"/>
          </w:tcPr>
          <w:p>
            <w:pPr>
              <w:ind w:left="180"/>
              <w:spacing w:after="0" w:line="157" w:lineRule="exact"/>
              <w:rPr>
                <w:sz w:val="20"/>
                <w:szCs w:val="20"/>
                <w:color w:val="auto"/>
              </w:rPr>
            </w:pPr>
            <w:r>
              <w:rPr>
                <w:rFonts w:ascii="Arial" w:cs="Arial" w:eastAsia="Arial" w:hAnsi="Arial"/>
                <w:sz w:val="14"/>
                <w:szCs w:val="14"/>
                <w:color w:val="auto"/>
                <w:w w:val="90"/>
              </w:rPr>
              <w:t>Interest rate caps purchased,</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tcPr>
          <w:p>
            <w:pPr>
              <w:ind w:left="340"/>
              <w:spacing w:after="0"/>
              <w:rPr>
                <w:sz w:val="20"/>
                <w:szCs w:val="20"/>
                <w:color w:val="auto"/>
              </w:rPr>
            </w:pPr>
            <w:r>
              <w:rPr>
                <w:rFonts w:ascii="Arial" w:cs="Arial" w:eastAsia="Arial" w:hAnsi="Arial"/>
                <w:sz w:val="14"/>
                <w:szCs w:val="14"/>
                <w:color w:val="auto"/>
                <w:w w:val="95"/>
              </w:rPr>
              <w:t>indexed to 1-month Libor</w:t>
            </w: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3.43%</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98,407</w:t>
            </w:r>
          </w:p>
        </w:tc>
        <w:tc>
          <w:tcPr>
            <w:tcW w:w="10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caps sold,</w:t>
            </w: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5"/>
              </w:rPr>
              <w:t>indexed to 1-month Libor</w:t>
            </w:r>
          </w:p>
        </w:tc>
        <w:tc>
          <w:tcPr>
            <w:tcW w:w="17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0"/>
              </w:rPr>
              <w:t>3.43%</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98,407</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5,139,206</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29,615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(23,874)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provides information about the amount of gain (loss) related to derivatives designated as cash flow hedges reclassified from AOCI into interest expense for the periods indicated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r>
      <w:tr>
        <w:trPr>
          <w:trHeight w:val="264"/>
        </w:trPr>
        <w:tc>
          <w:tcPr>
            <w:tcW w:w="35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Location of Gain (Loss) Reclassified from AOCI into Income</w:t>
            </w: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contracts</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2,723</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4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(939)   Interest expense on borrowings</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During the three months ended March 31, 2019 and 2018, no derivative positions designated as cash flow hedges were discontinued and none of the gains and losses reported in AOCI were reclassified into earnings as a result of the discontinuance of cash flow hedges or because of the early extinguishment of debt. As of March 31, 2019, the amount of net gain expected to be reclassified from AOCI into earnings during the next twelve months was $2.0 million.</w:t>
      </w:r>
    </w:p>
    <w:p>
      <w:pPr>
        <w:spacing w:after="0" w:line="20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Some of the Company’s ISDA master agreements with financial institution counterparties contain provisions that permit either counterparty to terminate the agreements and require settlement in the event that regulatory capital ratios fall below certain designated thresholds, upon the initiation of other defined regulatory actions or upon suspension or withdrawal of the Bank’s credit rating. Currently, there are no circumstances that would trigger these provisions of the agreements.</w:t>
      </w:r>
    </w:p>
    <w:p>
      <w:pPr>
        <w:spacing w:after="0" w:line="24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does not offset assets and liabilities under master netting agreements for financial reporting purposes. Information on interest rate swaps subject to these agreements is as follows at the dates indicated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2019</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gridSpan w:val="5"/>
          </w:tcPr>
          <w:p>
            <w:pPr>
              <w:ind w:left="300"/>
              <w:spacing w:after="0" w:line="147" w:lineRule="exact"/>
              <w:rPr>
                <w:sz w:val="20"/>
                <w:szCs w:val="20"/>
                <w:color w:val="auto"/>
              </w:rPr>
            </w:pPr>
            <w:r>
              <w:rPr>
                <w:rFonts w:ascii="Arial" w:cs="Arial" w:eastAsia="Arial" w:hAnsi="Arial"/>
                <w:sz w:val="14"/>
                <w:szCs w:val="14"/>
                <w:b w:val="1"/>
                <w:bCs w:val="1"/>
                <w:color w:val="auto"/>
              </w:rPr>
              <w:t>Gross Amounts Not Offset in</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Net Amounts</w:t>
            </w: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837"/>
              <w:spacing w:after="0"/>
              <w:rPr>
                <w:sz w:val="20"/>
                <w:szCs w:val="20"/>
                <w:color w:val="auto"/>
              </w:rPr>
            </w:pPr>
            <w:r>
              <w:rPr>
                <w:rFonts w:ascii="Arial" w:cs="Arial" w:eastAsia="Arial" w:hAnsi="Arial"/>
                <w:sz w:val="14"/>
                <w:szCs w:val="14"/>
                <w:b w:val="1"/>
                <w:bCs w:val="1"/>
                <w:color w:val="auto"/>
              </w:rPr>
              <w:t>Balance Sheet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Gross Amounts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Offset in Balance</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Presented in</w:t>
            </w:r>
          </w:p>
        </w:tc>
        <w:tc>
          <w:tcPr>
            <w:tcW w:w="200" w:type="dxa"/>
            <w:vAlign w:val="bottom"/>
          </w:tcPr>
          <w:p>
            <w:pPr>
              <w:spacing w:after="0"/>
              <w:rPr>
                <w:sz w:val="13"/>
                <w:szCs w:val="13"/>
                <w:color w:val="auto"/>
              </w:rPr>
            </w:pPr>
          </w:p>
        </w:tc>
        <w:tc>
          <w:tcPr>
            <w:tcW w:w="11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Collateral</w:t>
            </w:r>
          </w:p>
        </w:tc>
        <w:tc>
          <w:tcPr>
            <w:tcW w:w="160" w:type="dxa"/>
            <w:vAlign w:val="bottom"/>
          </w:tcPr>
          <w:p>
            <w:pPr>
              <w:spacing w:after="0"/>
              <w:rPr>
                <w:sz w:val="13"/>
                <w:szCs w:val="13"/>
                <w:color w:val="auto"/>
              </w:rPr>
            </w:pPr>
          </w:p>
        </w:tc>
        <w:tc>
          <w:tcPr>
            <w:tcW w:w="9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Recognized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3"/>
              </w:rPr>
              <w:t>Sheet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9"/>
              </w:rPr>
              <w:t>Instruments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Pledged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5,282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29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256" w:right="239" w:bottom="1440" w:gutter="0" w:footer="0" w:header="0"/>
          <w:type w:val="continuous"/>
        </w:sectPr>
      </w:pPr>
    </w:p>
    <w:bookmarkStart w:id="32" w:name="page33"/>
    <w:bookmarkEnd w:id="3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2018</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80" w:type="dxa"/>
            <w:vAlign w:val="bottom"/>
            <w:gridSpan w:val="5"/>
          </w:tcPr>
          <w:p>
            <w:pPr>
              <w:ind w:left="240"/>
              <w:spacing w:after="0" w:line="147" w:lineRule="exact"/>
              <w:rPr>
                <w:sz w:val="20"/>
                <w:szCs w:val="20"/>
                <w:color w:val="auto"/>
              </w:rPr>
            </w:pPr>
            <w:r>
              <w:rPr>
                <w:rFonts w:ascii="Arial" w:cs="Arial" w:eastAsia="Arial" w:hAnsi="Arial"/>
                <w:sz w:val="14"/>
                <w:szCs w:val="14"/>
                <w:b w:val="1"/>
                <w:bCs w:val="1"/>
                <w:color w:val="auto"/>
              </w:rPr>
              <w:t>Gross Amounts Not Offset in</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Net Amounts</w:t>
            </w: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837"/>
              <w:spacing w:after="0"/>
              <w:rPr>
                <w:sz w:val="20"/>
                <w:szCs w:val="20"/>
                <w:color w:val="auto"/>
              </w:rPr>
            </w:pPr>
            <w:r>
              <w:rPr>
                <w:rFonts w:ascii="Arial" w:cs="Arial" w:eastAsia="Arial" w:hAnsi="Arial"/>
                <w:sz w:val="14"/>
                <w:szCs w:val="14"/>
                <w:b w:val="1"/>
                <w:bCs w:val="1"/>
                <w:color w:val="auto"/>
              </w:rPr>
              <w:t>Balance Sheet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Gross Amounts</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Offset in Balance</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0"/>
              </w:rPr>
              <w:t>Presented in</w:t>
            </w:r>
          </w:p>
        </w:tc>
        <w:tc>
          <w:tcPr>
            <w:tcW w:w="260" w:type="dxa"/>
            <w:vAlign w:val="bottom"/>
          </w:tcPr>
          <w:p>
            <w:pPr>
              <w:spacing w:after="0"/>
              <w:rPr>
                <w:sz w:val="13"/>
                <w:szCs w:val="13"/>
                <w:color w:val="auto"/>
              </w:rPr>
            </w:pPr>
          </w:p>
        </w:tc>
        <w:tc>
          <w:tcPr>
            <w:tcW w:w="11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Collateral</w:t>
            </w:r>
          </w:p>
        </w:tc>
        <w:tc>
          <w:tcPr>
            <w:tcW w:w="160" w:type="dxa"/>
            <w:vAlign w:val="bottom"/>
          </w:tcPr>
          <w:p>
            <w:pPr>
              <w:spacing w:after="0"/>
              <w:rPr>
                <w:sz w:val="13"/>
                <w:szCs w:val="13"/>
                <w:color w:val="auto"/>
              </w:rPr>
            </w:pPr>
          </w:p>
        </w:tc>
        <w:tc>
          <w:tcPr>
            <w:tcW w:w="9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Recognized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3"/>
              </w:rPr>
              <w:t>Sheet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Pledged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5,264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11,306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11,306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difference between the amounts reported for interest rate swaps subject to master netting agreements and the total fair value of interest rate contract derivative financial instruments reported in the consolidated balance sheets is related to interest rate contracts entered into with borrowers not subject to master netting agreements.</w:t>
      </w:r>
    </w:p>
    <w:p>
      <w:pPr>
        <w:spacing w:after="0" w:line="2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At March 31, 2019, the Company had pledged net financial collateral of $3.7 million as collateral for interest rate swaps in a liability position that are not centrally cleared. Financial collateral of $3.0 million was pledged by counterparties to the Company for interest rate swaps in an asset position. The amount of collateral required to be posted varies based on the settlement value of outstanding swaps and in some cases may include initial margin requirements.</w:t>
      </w:r>
    </w:p>
    <w:p>
      <w:pPr>
        <w:spacing w:after="0" w:line="27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Stockholders’ Equity</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other comprehensive income are summarized as follows for the periods indicated (in thousands):</w:t>
      </w:r>
    </w:p>
    <w:p>
      <w:pPr>
        <w:spacing w:after="0" w:line="200" w:lineRule="exact"/>
        <w:rPr>
          <w:sz w:val="20"/>
          <w:szCs w:val="20"/>
          <w:color w:val="auto"/>
        </w:rPr>
      </w:pPr>
    </w:p>
    <w:p>
      <w:pPr>
        <w:spacing w:after="0" w:line="273"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Before Tax</w:t>
            </w:r>
          </w:p>
        </w:tc>
        <w:tc>
          <w:tcPr>
            <w:tcW w:w="16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Tax Effect</w:t>
            </w:r>
          </w:p>
        </w:tc>
        <w:tc>
          <w:tcPr>
            <w:tcW w:w="14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of Tax</w:t>
            </w:r>
          </w:p>
        </w:tc>
        <w:tc>
          <w:tcPr>
            <w:tcW w:w="16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Before Tax</w:t>
            </w:r>
          </w:p>
        </w:tc>
        <w:tc>
          <w:tcPr>
            <w:tcW w:w="16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22"/>
                <w:szCs w:val="22"/>
                <w:color w:val="auto"/>
              </w:rPr>
            </w:pPr>
          </w:p>
        </w:tc>
        <w:tc>
          <w:tcPr>
            <w:tcW w:w="86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Net of Tax</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Unrealized gains on investment securities available for sale:</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6"/>
              </w:rPr>
              <w:t>Net unrealized holding gain (loss) arising during the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29,410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(7,794)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21,617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(37,176)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9,852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(27,324)</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to gain on investment securities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 for sale, net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09"/>
        </w:trPr>
        <w:tc>
          <w:tcPr>
            <w:tcW w:w="4700" w:type="dxa"/>
            <w:vAlign w:val="bottom"/>
          </w:tcPr>
          <w:p>
            <w:pPr>
              <w:ind w:left="180"/>
              <w:spacing w:after="0"/>
              <w:rPr>
                <w:sz w:val="20"/>
                <w:szCs w:val="20"/>
                <w:color w:val="auto"/>
              </w:rPr>
            </w:pPr>
            <w:r>
              <w:rPr>
                <w:rFonts w:ascii="Arial" w:cs="Arial" w:eastAsia="Arial" w:hAnsi="Arial"/>
                <w:sz w:val="18"/>
                <w:szCs w:val="18"/>
                <w:color w:val="auto"/>
              </w:rPr>
              <w:t>Net change in unrealized gains on investment securities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available for sale</w:t>
            </w:r>
          </w:p>
        </w:tc>
        <w:tc>
          <w:tcPr>
            <w:tcW w:w="1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25,093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18,444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10,111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(28,041)</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6"/>
              </w:rPr>
              <w:t>Net unrealized holding gain (loss) arising during the period</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7,454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19,793</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to interest expense on borrowings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w w:val="97"/>
              </w:rPr>
              <w:t>Net change in unrealized losses on derivative instruments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(30,852)</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8,176</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27,868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20,483</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56"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categories of AOCI and changes therein are presented below for the periods indicated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Unrealized Gain (Loss) on</w:t>
            </w:r>
          </w:p>
        </w:tc>
        <w:tc>
          <w:tcPr>
            <w:tcW w:w="1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Unrealized Gain (Loss)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 Securities</w:t>
            </w: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on Derivative</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Available for Sale</w:t>
            </w:r>
          </w:p>
        </w:tc>
        <w:tc>
          <w:tcPr>
            <w:tcW w:w="26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Instruments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18,444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22,638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54,986</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Cumulative effect of adoption of new accounting standards</w:t>
            </w:r>
          </w:p>
        </w:tc>
        <w:tc>
          <w:tcPr>
            <w:tcW w:w="180" w:type="dxa"/>
            <w:vAlign w:val="bottom"/>
          </w:tcPr>
          <w:p>
            <w:pPr>
              <w:spacing w:after="0"/>
              <w:rPr>
                <w:sz w:val="21"/>
                <w:szCs w:val="21"/>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8,902</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20,483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0" w:type="dxa"/>
            <w:vAlign w:val="bottom"/>
          </w:tcPr>
          <w:p>
            <w:pPr>
              <w:spacing w:after="0"/>
              <w:rPr>
                <w:sz w:val="1"/>
                <w:szCs w:val="1"/>
                <w:color w:val="auto"/>
              </w:rPr>
            </w:pP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Balance at March 31,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37,680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18,650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56,330</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7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January 2019, the Company's Board of Directors authorized the repurchase of up to $150 million of its outstanding common stock. Any repurchases will be made in accordance with applicable securities laws from time to time in open market or private transactions. The program may be commenced, suspended or discontinued without prior notice.</w:t>
      </w:r>
    </w:p>
    <w:p>
      <w:pPr>
        <w:spacing w:after="0" w:line="3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Equity Based and Other Compensation Plans</w:t>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Awards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Unvested share awards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activity related to unvested share awards follows for the periods indicated: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Number of Share</w:t>
            </w:r>
          </w:p>
        </w:tc>
        <w:tc>
          <w:tcPr>
            <w:tcW w:w="160" w:type="dxa"/>
            <w:vAlign w:val="bottom"/>
          </w:tcPr>
          <w:p>
            <w:pPr>
              <w:spacing w:after="0"/>
              <w:rPr>
                <w:sz w:val="14"/>
                <w:szCs w:val="14"/>
                <w:color w:val="auto"/>
              </w:rPr>
            </w:pPr>
          </w:p>
        </w:tc>
        <w:tc>
          <w:tcPr>
            <w:tcW w:w="132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834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Grant Date Fair Value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 awards outstanding, December 31, 2018</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1,186,238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563,970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36.65</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 or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(25,930)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39.93</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 awards outstanding, March 31, 2019</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1,218,840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38.25</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 awards outstanding, December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1,108,477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640,040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40.28</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 or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(31,479)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38.48</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 awards outstanding, March 31, 2018</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1,245,866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38.66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29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256" w:right="239" w:bottom="1440" w:gutter="0" w:footer="0" w:header="0"/>
          <w:type w:val="continuous"/>
        </w:sectPr>
      </w:pPr>
    </w:p>
    <w:bookmarkStart w:id="34" w:name="page35"/>
    <w:bookmarkEnd w:id="34"/>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Unvested share awards are generally valued at the closing price of the Company's common stock on the date of grant. All shares granted prior to 2019 vest in equal annual installments over a period of three years from the date of grant. All shares granted in 2019 vest in equal annual installments over a period of four years from the date of grant. The following table summarizes the closing price of the Company's stock on the date of grant for shares granted and the aggregate grant date fair value of shares vesting for the periods indicated (in thousands, except per share data):</w:t>
      </w:r>
    </w:p>
    <w:p>
      <w:pPr>
        <w:spacing w:after="0" w:line="200" w:lineRule="exact"/>
        <w:rPr>
          <w:sz w:val="20"/>
          <w:szCs w:val="20"/>
          <w:color w:val="auto"/>
        </w:rPr>
      </w:pPr>
    </w:p>
    <w:p>
      <w:pPr>
        <w:spacing w:after="0" w:line="202"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Closing price on date of grant</w:t>
            </w:r>
          </w:p>
        </w:tc>
        <w:tc>
          <w:tcPr>
            <w:tcW w:w="1220" w:type="dxa"/>
            <w:vAlign w:val="bottom"/>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40.28</w:t>
            </w: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grant date fair value of shares vesting</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19,105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16,373</w:t>
            </w:r>
          </w:p>
        </w:tc>
      </w:tr>
      <w:tr>
        <w:trPr>
          <w:trHeight w:val="27"/>
        </w:trPr>
        <w:tc>
          <w:tcPr>
            <w:tcW w:w="7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total unrecognized compensation cost of $37.9 million for all unvested share awards outstanding at March 31, 2019 will be recognized over a weighted average remaining period of 2.61 years.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share-based awards</w:t>
      </w:r>
    </w:p>
    <w:p>
      <w:pPr>
        <w:spacing w:after="0" w:line="2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Certain of the Company's executives are eligible to receive annual awards of RSUs and PSUs (collectively, the "share units"). Annual awards of RSUs represent a fixed number of shares and vest on December 31st in equal tranches over three years for awards issued prior to 2019 and over four years for awards issued in 2019. PSUs are initially granted based on a target value. The number of PSUs that ultimately vest at the end of the performance measurement period will be based on the achievement of performance criteria pre-established by the Compensation Committee of the Board of Directors. The performance criteria established for the PSUs granted in 2019, 2018 and 2017 include both performance and market conditions. Upon vesting, the share units will be converted to common stock on a one-for-one basis, or may be settled in cash at the Company's option. The share units will accumulate dividends declared on the Company's common stock from the date of grant to be paid subsequent to vesting.</w:t>
      </w:r>
    </w:p>
    <w:p>
      <w:pPr>
        <w:spacing w:after="0" w:line="23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has cash settled all tranches of RSUs and PSUs that have vested through December 31, 2018. As a result of the previous cash settlements, all RSUs and PSUs have been determined to be liability instruments and are remeasured at fair value each reporting period until the awards are settled. The RSUs are valued based on the closing price of the Company's common stock at the reporting date. The PSUs are valued based on the closing price of the Company's common stock at the reporting date net of a discount related to any applicable market conditions, considering the probability of meeting the defined performance conditions. Compensation cost related to PSUs is recognized during the performance period based on the probable outcome of the respective performance conditions.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activity related to executive share-based awards for the periods indicated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gridSpan w:val="2"/>
          </w:tcPr>
          <w:p>
            <w:pPr>
              <w:ind w:left="600"/>
              <w:spacing w:after="0"/>
              <w:rPr>
                <w:sz w:val="20"/>
                <w:szCs w:val="20"/>
                <w:color w:val="auto"/>
              </w:rPr>
            </w:pPr>
            <w:r>
              <w:rPr>
                <w:rFonts w:ascii="Arial" w:cs="Arial" w:eastAsia="Arial" w:hAnsi="Arial"/>
                <w:sz w:val="14"/>
                <w:szCs w:val="14"/>
                <w:b w:val="1"/>
                <w:bCs w:val="1"/>
                <w:color w:val="auto"/>
              </w:rPr>
              <w:t>RSU</w:t>
            </w: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PSU</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executive share-based awards outstanding, December 31, 2018</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90,612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99,874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73,062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73,062</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executive share-based awards outstanding, March 31, 2019</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163,674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172,936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executive share-based awards outstanding, December 31, 2017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91,171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105,721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52,026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52,026</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executive share-based awards outstanding, March 31, 2018</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143,197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157,747</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120" w:firstLine="324"/>
        <w:spacing w:after="0" w:line="308" w:lineRule="auto"/>
        <w:rPr>
          <w:sz w:val="20"/>
          <w:szCs w:val="20"/>
          <w:color w:val="auto"/>
        </w:rPr>
      </w:pPr>
      <w:r>
        <w:rPr>
          <w:rFonts w:ascii="Arial" w:cs="Arial" w:eastAsia="Arial" w:hAnsi="Arial"/>
          <w:sz w:val="17"/>
          <w:szCs w:val="17"/>
          <w:color w:val="auto"/>
        </w:rPr>
        <w:t>The total liability for these executive share-based awards was $3.3 million at March 31, 2019. The total unrecognized compensation cost of $8.2 million for unvested executive share-based awards at March 31, 2019 will be recognized over a weighted average remaining period of 2.40 years.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Incentive awards</w:t>
      </w:r>
    </w:p>
    <w:p>
      <w:pPr>
        <w:spacing w:after="0" w:line="279"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Company's annual incentive compensation arrangements for employees other than those eligible for the executive share-based awards discussed above provide for settlement through a combination of cash payments and unvested share awards</w:t>
      </w:r>
    </w:p>
    <w:p>
      <w:pPr>
        <w:sectPr>
          <w:pgSz w:w="11900" w:h="16838" w:orient="portrait"/>
          <w:cols w:equalWidth="0" w:num="1">
            <w:col w:w="11420"/>
          </w:cols>
          <w:pgMar w:left="240" w:top="256" w:right="239" w:bottom="1095"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56" w:right="239" w:bottom="1095" w:gutter="0" w:footer="0" w:header="0"/>
          <w:type w:val="continuous"/>
        </w:sectPr>
      </w:pPr>
    </w:p>
    <w:bookmarkStart w:id="35" w:name="page36"/>
    <w:bookmarkEnd w:id="35"/>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following the end of the annual performance period. The dollar value of share awards to be granted is based on the achievement of performance criteria established in the incentive arrangements. The number of shares of common stock to be awarded is variable based on the closing price of the Company's stock on the date of grant; therefore, these awards are initially classified as liability instruments, with compensation cost recognized from the beginning of the performance period. Awards related to performance periods prior to 2019, included in the summary of activity related to unvested share awards above, vest over three years and awards related to the 2019 performance period will vest in equal installments over a period of four years from the date of grant. The total liability for incentive share awards for the 2019 performance period was $0.2 million at March 31, 2019. The related total unrecognized compensation cost of $3.8 million for incentive share awards at March 31, 2019 will be recognized over a weighted average remaining period of 4.76 years. The accrued liability and unrecognized compensation cost are based on management's current estimate of the likely outcome of the performance criteria established in the incentive arrangements and may differ from actual results.</w:t>
      </w:r>
    </w:p>
    <w:p>
      <w:pPr>
        <w:spacing w:after="0" w:line="236"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563,970 unvested share awards granted during the three months ended March 31, 2019, as discussed above, included 60,290 unvested share awards granted under the Company's annual incentive compensation arrangements based on the achievement of established performance criteria for the year ended December 31, 2018.</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Awards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activity related to stock option awards for the three months ended March 31, 2019 and 2018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26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34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12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92"/>
        </w:trPr>
        <w:tc>
          <w:tcPr>
            <w:tcW w:w="834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Exercise Price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 awards outstanding, December 31, 2018</w:t>
            </w:r>
          </w:p>
        </w:tc>
        <w:tc>
          <w:tcPr>
            <w:tcW w:w="15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964,840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11.14</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 or 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63.74</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 awards outstanding and exercisable, March 31, 2019</w:t>
            </w:r>
          </w:p>
        </w:tc>
        <w:tc>
          <w:tcPr>
            <w:tcW w:w="15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958,970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26.52</w:t>
            </w:r>
          </w:p>
        </w:tc>
      </w:tr>
      <w:tr>
        <w:trPr>
          <w:trHeight w:val="257"/>
        </w:trPr>
        <w:tc>
          <w:tcPr>
            <w:tcW w:w="8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Option awards outstanding, December 31, 2017</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1,270,688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26.93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26.94</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Option awards outstanding, March 31, 2018</w:t>
            </w:r>
          </w:p>
        </w:tc>
        <w:tc>
          <w:tcPr>
            <w:tcW w:w="15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1,230,188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26.93</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intrinsic value of options exercised was $0.1 million and $0.6 million, respectively, during the three months ended March 31, 2019 and 2018. The related tax benefit of options exercised was insignificant for both the three months ended March 31, 2019 and 2018.</w:t>
      </w:r>
    </w:p>
    <w:p>
      <w:pPr>
        <w:spacing w:after="0" w:line="30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Fair Value Measurements</w:t>
      </w: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7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Following is a description of the methodologies used to estimate the fair values of assets and liabilities measured at fair value on a recurring basis and the level within the fair value hierarchy in which those measurements are typically classified.</w:t>
      </w:r>
    </w:p>
    <w:p>
      <w:pPr>
        <w:spacing w:after="0" w:line="22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i w:val="1"/>
          <w:iCs w:val="1"/>
          <w:color w:val="auto"/>
        </w:rPr>
        <w:t>Investment securities available for sale and marketable equity securities</w:t>
      </w:r>
      <w:r>
        <w:rPr>
          <w:rFonts w:ascii="Arial" w:cs="Arial" w:eastAsia="Arial" w:hAnsi="Arial"/>
          <w:sz w:val="17"/>
          <w:szCs w:val="17"/>
          <w:color w:val="auto"/>
        </w:rPr>
        <w:t>—Fair value measurements are based on quoted prices in active markets when</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these measurements are classified within level 1 of the fair value hierarchy. These securities typically include U.S. Treasury securities and certain preferred stocks. If quoted prices in active markets are not available, fair values are estimated using quoted prices of securities with similar characteristics, quoted prices of identical securities in less active markets, discounted cash flow techniques, or matrix pricing models. These securities are generally classified within level 2 of the fair value hierarchy and include U.S. Government agency securities, U.S. Government agency and sponsored enterprise MBS, preferred stock investments for which level 1 valuations are not available, corporate debt securities, non-mortgage asset-backed securities, single family rental real estate-backed securities, certain private label residential MBS and CMOs, private label commercial MBS, collateralized loan obligations and state and municipal obligations. Pricing of these securities is generally primarily spread driven. Observable inputs that may impact the valuation of these securities include benchmark yield curves, credit spreads, reported trades, dealer quotes, bids, issuer spreads, current rating, historical constant prepayment rates, historical voluntary prepayment rates, structural and waterfall features of individual</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256" w:right="239" w:bottom="1440" w:gutter="0" w:footer="0" w:header="0"/>
          <w:type w:val="continuous"/>
        </w:sectPr>
      </w:pPr>
    </w:p>
    <w:bookmarkStart w:id="36" w:name="page37"/>
    <w:bookmarkEnd w:id="36"/>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300" w:right="268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securities, published collateral data, and for certain securities, historical constant default rates and default severities. Investment securities available for sale generally classified within level 3 of the fair value hierarchy include certain private label MBS and trust preferred securities. The Company typically values these securities using third-party proprietary pricing models, primarily discounted cash flow valuation techniques, which incorporate both observable and unobservable inputs. Unobservable inputs that may impact the valuation of these securities include risk adjusted discount rates, projected prepayment rates, projected default rates and projected loss severity.</w:t>
      </w:r>
    </w:p>
    <w:p>
      <w:pPr>
        <w:spacing w:after="0" w:line="24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Company uses third-party pricing services in determining fair value measurements for investment securities. To obtain an understanding of the methodologies and assumptions used, management reviews written documentation provided by the pricing services, conducts interviews with valuation desk personnel and reviews model results and detailed assumptions used to value selected securities as considered necessary. Management has established a robust price challenge process that includes a review by the treasury front office of all prices provided on a monthly basis. Any price evidencing unexpected month over month fluctuations or deviations from expectations is challenged. If considered necessary to resolve any discrepancies, a price will be obtained from an additional independent valuation source. The Company does not typically adjust the prices provided, other than through this established challenge process. The results of price challenges are subject to review by executive management. The Company has also established a quarterly process whereby prices provided by its primary pricing service for a sample of securities are validated. Any price discrepancies are resolved based on careful consideration of the assumptions and inputs employed by each of the pricing sources.</w:t>
      </w:r>
    </w:p>
    <w:p>
      <w:pPr>
        <w:spacing w:after="0" w:line="23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Servicing rights</w:t>
      </w:r>
      <w:r>
        <w:rPr>
          <w:rFonts w:ascii="Arial" w:cs="Arial" w:eastAsia="Arial" w:hAnsi="Arial"/>
          <w:sz w:val="18"/>
          <w:szCs w:val="18"/>
          <w:color w:val="auto"/>
        </w:rPr>
        <w:t>—Commercial servicing rights are valued using a discounted cash flow methodology incorporating contractually specified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 based assumptions about prepayments, discount rates, default rates and costs of servicing. Prepayment and default assumptions are based on historical industry data for loans with similar characteristics. Assumptions about costs of servicing are based on market convention. Discount rates are based on rates of return implied by observed trades of underlying loans in the secondary market.</w:t>
      </w:r>
    </w:p>
    <w:p>
      <w:pPr>
        <w:spacing w:after="0" w:line="2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—Fair values of interest rate swaps are determined using widely accepted discounted cash flow modeling techniques.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discounted cash flow models use projections of future cash payments and receipts that are discounted at mid-market rates. Observable inputs that may impact the valuation of these instruments include LIBOR swap rates and LIBOR forward yield curves. These fair value measurements are generally classified within level 2 of the fair value hierarchy.</w:t>
      </w:r>
    </w:p>
    <w:p>
      <w:pPr>
        <w:spacing w:after="0" w:line="200" w:lineRule="exact"/>
        <w:rPr>
          <w:sz w:val="20"/>
          <w:szCs w:val="20"/>
          <w:color w:val="auto"/>
        </w:rPr>
      </w:pPr>
    </w:p>
    <w:p>
      <w:pPr>
        <w:spacing w:after="0" w:line="28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56" w:right="279" w:bottom="1440" w:gutter="0" w:footer="0" w:header="0"/>
        </w:sectPr>
      </w:pPr>
    </w:p>
    <w:bookmarkStart w:id="37" w:name="page38"/>
    <w:bookmarkEnd w:id="37"/>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assets and liabilities measured at fair value on a recurring basis at the dates indicated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ind w:left="520"/>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22"/>
                <w:szCs w:val="22"/>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5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 available for sale:</w:t>
            </w: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34,890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34,890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U.S. Government agency and sponsored enterprise residential MBS</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2,095,993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2,095,993</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w w:val="95"/>
              </w:rPr>
              <w:t>U.S. Government agency and sponsored enterprise commercial MBS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439,331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439,331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label residential MBS and CMOs</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1,605,494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1,633,398</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Private label commercial MBS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1,481,482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1,481,482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Single family rental real estate-backed securities</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414,884</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Collateralized loan obligations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1,220,225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1,220,225</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Non-mortgage asset-backed securities</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145,857</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State and municipal obligations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384,297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384,297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 securities</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447,469</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Other debt securities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securities</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61,980</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Servicing rights</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9,585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9,585</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26,850</w:t>
            </w:r>
          </w:p>
        </w:tc>
        <w:tc>
          <w:tcPr>
            <w:tcW w:w="0" w:type="dxa"/>
            <w:vAlign w:val="bottom"/>
          </w:tcPr>
          <w:p>
            <w:pPr>
              <w:spacing w:after="0"/>
              <w:rPr>
                <w:sz w:val="1"/>
                <w:szCs w:val="1"/>
                <w:color w:val="auto"/>
              </w:rPr>
            </w:pPr>
          </w:p>
        </w:tc>
      </w:tr>
      <w:tr>
        <w:trPr>
          <w:trHeight w:val="297"/>
        </w:trPr>
        <w:tc>
          <w:tcPr>
            <w:tcW w:w="54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 at fair value</w:t>
            </w:r>
          </w:p>
        </w:tc>
        <w:tc>
          <w:tcPr>
            <w:tcW w:w="6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96,870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8,261,882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42,307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8,401,059</w:t>
            </w: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6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57"/>
        </w:trPr>
        <w:tc>
          <w:tcPr>
            <w:tcW w:w="5460" w:type="dxa"/>
            <w:vAlign w:val="bottom"/>
          </w:tcPr>
          <w:p>
            <w:pPr>
              <w:ind w:left="380"/>
              <w:spacing w:after="0"/>
              <w:rPr>
                <w:sz w:val="20"/>
                <w:szCs w:val="20"/>
                <w:color w:val="auto"/>
              </w:rPr>
            </w:pPr>
            <w:r>
              <w:rPr>
                <w:rFonts w:ascii="Arial" w:cs="Arial" w:eastAsia="Arial" w:hAnsi="Arial"/>
                <w:sz w:val="18"/>
                <w:szCs w:val="18"/>
                <w:color w:val="auto"/>
              </w:rPr>
              <w:t>Total liabilities at fair value</w:t>
            </w:r>
          </w:p>
        </w:tc>
        <w:tc>
          <w:tcPr>
            <w:tcW w:w="6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46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6" w:right="239" w:bottom="1440" w:gutter="0" w:footer="0" w:header="0"/>
        </w:sectPr>
      </w:pPr>
    </w:p>
    <w:bookmarkStart w:id="38" w:name="page39"/>
    <w:bookmarkEnd w:id="38"/>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ind w:left="400"/>
              <w:spacing w:after="0"/>
              <w:rPr>
                <w:sz w:val="20"/>
                <w:szCs w:val="20"/>
                <w:color w:val="auto"/>
              </w:rPr>
            </w:pPr>
            <w:r>
              <w:rPr>
                <w:rFonts w:ascii="Arial" w:cs="Arial" w:eastAsia="Arial" w:hAnsi="Arial"/>
                <w:sz w:val="16"/>
                <w:szCs w:val="16"/>
                <w:b w:val="1"/>
                <w:bCs w:val="1"/>
                <w:color w:val="auto"/>
              </w:rPr>
              <w:t>December 31, 2018</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8"/>
        </w:trPr>
        <w:tc>
          <w:tcPr>
            <w:tcW w:w="6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22"/>
                <w:szCs w:val="22"/>
                <w:color w:val="auto"/>
              </w:rPr>
            </w:pPr>
          </w:p>
        </w:tc>
        <w:tc>
          <w:tcPr>
            <w:tcW w:w="9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36"/>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 available for sale:</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39,873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39,873</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and sponsored enterprise residential MBS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1,897,474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1,897,474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U.S. Government agency and sponsored enterprise commercial MBS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374,787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374,787</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label residential MBS and CMOs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1,499,514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1,534,198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Private label commercial MBS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1,485,716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1,485,716</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Single family rental real estate-backed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402,458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Collateralized loan obligations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1,235,198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1,235,198</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Non-mortgage asset-backed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204,067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204,067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State and municipal obligations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398,429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398,429</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SBA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519,313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 debt securities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4,846</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Servicing rights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9,525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9,525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29,615</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 at fair value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100,392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8,046,571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49,055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8,196,018</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(23,874)</w:t>
            </w:r>
          </w:p>
        </w:tc>
      </w:tr>
      <w:tr>
        <w:trPr>
          <w:trHeight w:val="257"/>
        </w:trPr>
        <w:tc>
          <w:tcPr>
            <w:tcW w:w="6060" w:type="dxa"/>
            <w:vAlign w:val="bottom"/>
          </w:tcPr>
          <w:p>
            <w:pPr>
              <w:ind w:left="380"/>
              <w:spacing w:after="0"/>
              <w:rPr>
                <w:sz w:val="20"/>
                <w:szCs w:val="20"/>
                <w:color w:val="auto"/>
              </w:rPr>
            </w:pPr>
            <w:r>
              <w:rPr>
                <w:rFonts w:ascii="Arial" w:cs="Arial" w:eastAsia="Arial" w:hAnsi="Arial"/>
                <w:sz w:val="18"/>
                <w:szCs w:val="18"/>
                <w:color w:val="auto"/>
              </w:rPr>
              <w:t>Total liabilities at fair value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(23,874)</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reconciles changes in the fair value of assets and liabilities measured at fair value on a recurring basis and classified in level 3 of the fair value hierarchy during the periods indicated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Private Label</w:t>
            </w:r>
          </w:p>
        </w:tc>
        <w:tc>
          <w:tcPr>
            <w:tcW w:w="200" w:type="dxa"/>
            <w:vAlign w:val="bottom"/>
          </w:tcPr>
          <w:p>
            <w:pPr>
              <w:spacing w:after="0"/>
              <w:rPr>
                <w:sz w:val="13"/>
                <w:szCs w:val="13"/>
                <w:color w:val="auto"/>
              </w:rPr>
            </w:pPr>
          </w:p>
        </w:tc>
        <w:tc>
          <w:tcPr>
            <w:tcW w:w="10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6"/>
              </w:rPr>
              <w:t>Other Debt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Private Label</w:t>
            </w:r>
          </w:p>
        </w:tc>
        <w:tc>
          <w:tcPr>
            <w:tcW w:w="200" w:type="dxa"/>
            <w:vAlign w:val="bottom"/>
          </w:tcPr>
          <w:p>
            <w:pPr>
              <w:spacing w:after="0"/>
              <w:rPr>
                <w:sz w:val="13"/>
                <w:szCs w:val="13"/>
                <w:color w:val="auto"/>
              </w:rPr>
            </w:pPr>
          </w:p>
        </w:tc>
        <w:tc>
          <w:tcPr>
            <w:tcW w:w="10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6"/>
              </w:rPr>
              <w:t>Other Debt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Residential</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8"/>
              </w:rPr>
              <w:t>Servicing Rights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Residential</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0"/>
              </w:rPr>
              <w:t>Servicing Rights</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MBS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MBS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30,737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Gains (losses) for the period included in:</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accretion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Purchases or additions</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27,904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9,585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44,120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33,432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Change in unrealized gains or losses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40"/>
              <w:spacing w:after="0"/>
              <w:rPr>
                <w:sz w:val="20"/>
                <w:szCs w:val="20"/>
                <w:color w:val="auto"/>
              </w:rPr>
            </w:pPr>
            <w:r>
              <w:rPr>
                <w:rFonts w:ascii="Arial" w:cs="Arial" w:eastAsia="Arial" w:hAnsi="Arial"/>
                <w:sz w:val="18"/>
                <w:szCs w:val="18"/>
                <w:color w:val="auto"/>
                <w:w w:val="93"/>
              </w:rPr>
              <w:t>included in OCI for assets held at the end of</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34"/>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340" w:type="dxa"/>
            <w:vAlign w:val="bottom"/>
          </w:tcPr>
          <w:p>
            <w:pPr>
              <w:ind w:left="40"/>
              <w:spacing w:after="0"/>
              <w:rPr>
                <w:sz w:val="20"/>
                <w:szCs w:val="20"/>
                <w:color w:val="auto"/>
              </w:rPr>
            </w:pPr>
            <w:r>
              <w:rPr>
                <w:rFonts w:ascii="Arial" w:cs="Arial" w:eastAsia="Arial" w:hAnsi="Arial"/>
                <w:sz w:val="18"/>
                <w:szCs w:val="18"/>
                <w:color w:val="auto"/>
              </w:rPr>
              <w:t>the reporting period</w:t>
            </w: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56" w:right="239" w:bottom="1440" w:gutter="0" w:footer="0" w:header="0"/>
        </w:sectPr>
      </w:pPr>
    </w:p>
    <w:p>
      <w:pPr>
        <w:spacing w:after="0" w:line="29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256" w:right="239" w:bottom="1440" w:gutter="0" w:footer="0" w:header="0"/>
          <w:type w:val="continuous"/>
        </w:sectPr>
      </w:pPr>
    </w:p>
    <w:bookmarkStart w:id="39" w:name="page40"/>
    <w:bookmarkEnd w:id="39"/>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Gains on private label residential MBS recognized in net income during the three months ended March 31, 2019 and 2018 are included in the consolidated statement of income line item "Gain on investment securities, net." Changes in the fair value of servicing rights are included in the consolidated statement of income line item “Other non-interest income.” Changes in fair value include changes due to valuation assumptions, primarily discount rates and prepayment speeds, as well as other changes such as runoff and the passage of time. The amount of net unrealized gains (losses) included in earnings for the three months ended March 31, 2019 and 2018 that were related to servicing rights held at March 31, 2019 and 2018 totaled approximately $(0.2) million and $1.3 million, respectively, and were primarily due to changes in discount rates and prepayment speeds.</w:t>
      </w:r>
    </w:p>
    <w:p>
      <w:pPr>
        <w:spacing w:after="0" w:line="233" w:lineRule="exact"/>
        <w:rPr>
          <w:sz w:val="20"/>
          <w:szCs w:val="20"/>
          <w:color w:val="auto"/>
        </w:rPr>
      </w:pPr>
    </w:p>
    <w:p>
      <w:pPr>
        <w:jc w:val="both"/>
        <w:ind w:right="140" w:firstLine="324"/>
        <w:spacing w:after="0" w:line="297" w:lineRule="auto"/>
        <w:rPr>
          <w:sz w:val="20"/>
          <w:szCs w:val="20"/>
          <w:color w:val="auto"/>
        </w:rPr>
      </w:pPr>
      <w:r>
        <w:rPr>
          <w:rFonts w:ascii="Arial" w:cs="Arial" w:eastAsia="Arial" w:hAnsi="Arial"/>
          <w:sz w:val="16"/>
          <w:szCs w:val="16"/>
          <w:color w:val="auto"/>
        </w:rPr>
        <w:t>Securities for which fair value measurements are categorized in level 3 of the fair value hierarchy at March 31, 2019 consisted of pooled trust preferred securities with a fair value of $5 million and private label residential MBS and CMOs with a fair value of $28 million. The trust preferred securities are not material to the Company’s financial statements. Private label residential MBS consisted of senior and mezzanine tranches collateralized by prime fixed rate and hybrid 1-4 single family residential mortgages originated before 2005. Substantially all of these securities have variable rate coupons. Weighted average subordination levels at March 31, 2019 were 19.2% and 14.7% for investment grade and non-investment grade securities, respectively.</w:t>
      </w:r>
    </w:p>
    <w:p>
      <w:pPr>
        <w:spacing w:after="0" w:line="21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provides information about the valuation techniques and unobservable inputs used in the valuation of private label residential MBS and CMOs falling within level 3 of the fair value hierarchy as of March 31, 2019 (dollars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319"/>
              <w:spacing w:after="0"/>
              <w:rPr>
                <w:sz w:val="20"/>
                <w:szCs w:val="20"/>
                <w:color w:val="auto"/>
              </w:rPr>
            </w:pPr>
            <w:r>
              <w:rPr>
                <w:rFonts w:ascii="Arial" w:cs="Arial" w:eastAsia="Arial" w:hAnsi="Arial"/>
                <w:sz w:val="16"/>
                <w:szCs w:val="16"/>
                <w:b w:val="1"/>
                <w:bCs w:val="1"/>
                <w:color w:val="auto"/>
              </w:rPr>
              <w:t>Fair Value at</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Unobservable</w:t>
            </w:r>
          </w:p>
        </w:tc>
        <w:tc>
          <w:tcPr>
            <w:tcW w:w="318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1"/>
              </w:rPr>
              <w:t>Range (Weighted</w:t>
            </w: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2"/>
            <w:vMerge w:val="continue"/>
          </w:tcPr>
          <w:p>
            <w:pPr>
              <w:spacing w:after="0"/>
              <w:rPr>
                <w:sz w:val="5"/>
                <w:szCs w:val="5"/>
                <w:color w:val="auto"/>
              </w:rPr>
            </w:pPr>
          </w:p>
        </w:tc>
        <w:tc>
          <w:tcPr>
            <w:tcW w:w="3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Valuation Technique</w:t>
            </w:r>
          </w:p>
        </w:tc>
        <w:tc>
          <w:tcPr>
            <w:tcW w:w="2400" w:type="dxa"/>
            <w:vAlign w:val="bottom"/>
            <w:gridSpan w:val="2"/>
          </w:tcPr>
          <w:p>
            <w:pPr>
              <w:ind w:left="940"/>
              <w:spacing w:after="0"/>
              <w:rPr>
                <w:sz w:val="20"/>
                <w:szCs w:val="20"/>
                <w:color w:val="auto"/>
              </w:rPr>
            </w:pPr>
            <w:r>
              <w:rPr>
                <w:rFonts w:ascii="Arial" w:cs="Arial" w:eastAsia="Arial" w:hAnsi="Arial"/>
                <w:sz w:val="16"/>
                <w:szCs w:val="16"/>
                <w:b w:val="1"/>
                <w:bCs w:val="1"/>
                <w:color w:val="auto"/>
              </w:rPr>
              <w:t>Input</w:t>
            </w:r>
          </w:p>
        </w:tc>
        <w:tc>
          <w:tcPr>
            <w:tcW w:w="1180" w:type="dxa"/>
            <w:vAlign w:val="bottom"/>
          </w:tcPr>
          <w:p>
            <w:pPr>
              <w:spacing w:after="0"/>
              <w:rPr>
                <w:sz w:val="18"/>
                <w:szCs w:val="18"/>
                <w:color w:val="auto"/>
              </w:rPr>
            </w:pPr>
          </w:p>
        </w:tc>
        <w:tc>
          <w:tcPr>
            <w:tcW w:w="2000" w:type="dxa"/>
            <w:vAlign w:val="bottom"/>
            <w:gridSpan w:val="2"/>
          </w:tcPr>
          <w:p>
            <w:pPr>
              <w:jc w:val="center"/>
              <w:ind w:right="1099"/>
              <w:spacing w:after="0"/>
              <w:rPr>
                <w:sz w:val="20"/>
                <w:szCs w:val="20"/>
                <w:color w:val="auto"/>
              </w:rPr>
            </w:pPr>
            <w:r>
              <w:rPr>
                <w:rFonts w:ascii="Arial" w:cs="Arial" w:eastAsia="Arial" w:hAnsi="Arial"/>
                <w:sz w:val="16"/>
                <w:szCs w:val="16"/>
                <w:b w:val="1"/>
                <w:bCs w:val="1"/>
                <w:color w:val="auto"/>
                <w:w w:val="90"/>
              </w:rPr>
              <w:t>Average)</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grade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14,042</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Voluntary prepayment rate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0"/>
              </w:rPr>
              <w:t>- 27.20%</w:t>
            </w: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Arial" w:cs="Arial" w:eastAsia="Arial" w:hAnsi="Arial"/>
                <w:sz w:val="16"/>
                <w:szCs w:val="16"/>
                <w:color w:val="auto"/>
              </w:rPr>
              <w:t>Probability of default</w:t>
            </w:r>
          </w:p>
        </w:tc>
        <w:tc>
          <w:tcPr>
            <w:tcW w:w="3180" w:type="dxa"/>
            <w:vAlign w:val="bottom"/>
            <w:gridSpan w:val="3"/>
          </w:tcPr>
          <w:p>
            <w:pPr>
              <w:jc w:val="center"/>
              <w:spacing w:after="0"/>
              <w:rPr>
                <w:sz w:val="20"/>
                <w:szCs w:val="20"/>
                <w:color w:val="auto"/>
              </w:rPr>
            </w:pPr>
            <w:r>
              <w:rPr>
                <w:rFonts w:ascii="Arial" w:cs="Arial" w:eastAsia="Arial" w:hAnsi="Arial"/>
                <w:sz w:val="16"/>
                <w:szCs w:val="16"/>
                <w:color w:val="auto"/>
                <w:w w:val="92"/>
              </w:rPr>
              <w:t>0.10% - 10.00% (2.09%)</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Loss severity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- 100.00% (41.53%)</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Arial" w:cs="Arial" w:eastAsia="Arial" w:hAnsi="Arial"/>
                <w:sz w:val="16"/>
                <w:szCs w:val="16"/>
                <w:color w:val="auto"/>
              </w:rPr>
              <w:t>Discount rate</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2.96% - 6.32%</w:t>
            </w:r>
          </w:p>
        </w:tc>
        <w:tc>
          <w:tcPr>
            <w:tcW w:w="1380" w:type="dxa"/>
            <w:vAlign w:val="bottom"/>
          </w:tcPr>
          <w:p>
            <w:pPr>
              <w:ind w:left="20"/>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6"/>
                <w:szCs w:val="16"/>
                <w:color w:val="auto"/>
              </w:rPr>
              <w:t>Non-investment grade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13,862</w:t>
            </w:r>
          </w:p>
        </w:tc>
        <w:tc>
          <w:tcPr>
            <w:tcW w:w="12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Discounted cash flow</w:t>
            </w:r>
          </w:p>
        </w:tc>
        <w:tc>
          <w:tcPr>
            <w:tcW w:w="2400" w:type="dxa"/>
            <w:vAlign w:val="bottom"/>
            <w:gridSpan w:val="2"/>
          </w:tcPr>
          <w:p>
            <w:pPr>
              <w:ind w:left="20"/>
              <w:spacing w:after="0"/>
              <w:rPr>
                <w:sz w:val="20"/>
                <w:szCs w:val="20"/>
                <w:color w:val="auto"/>
              </w:rPr>
            </w:pPr>
            <w:r>
              <w:rPr>
                <w:rFonts w:ascii="Arial" w:cs="Arial" w:eastAsia="Arial" w:hAnsi="Arial"/>
                <w:sz w:val="16"/>
                <w:szCs w:val="16"/>
                <w:color w:val="auto"/>
              </w:rPr>
              <w:t>Voluntary prepayment rate</w:t>
            </w:r>
          </w:p>
        </w:tc>
        <w:tc>
          <w:tcPr>
            <w:tcW w:w="1180" w:type="dxa"/>
            <w:vAlign w:val="bottom"/>
          </w:tcPr>
          <w:p>
            <w:pPr>
              <w:jc w:val="right"/>
              <w:spacing w:after="0"/>
              <w:rPr>
                <w:sz w:val="20"/>
                <w:szCs w:val="20"/>
                <w:color w:val="auto"/>
              </w:rPr>
            </w:pPr>
            <w:r>
              <w:rPr>
                <w:rFonts w:ascii="Arial" w:cs="Arial" w:eastAsia="Arial" w:hAnsi="Arial"/>
                <w:sz w:val="16"/>
                <w:szCs w:val="16"/>
                <w:color w:val="auto"/>
              </w:rPr>
              <w:t>4.00%</w:t>
            </w:r>
          </w:p>
        </w:tc>
        <w:tc>
          <w:tcPr>
            <w:tcW w:w="620" w:type="dxa"/>
            <w:vAlign w:val="bottom"/>
          </w:tcPr>
          <w:p>
            <w:pPr>
              <w:ind w:left="20"/>
              <w:spacing w:after="0"/>
              <w:rPr>
                <w:sz w:val="20"/>
                <w:szCs w:val="20"/>
                <w:color w:val="auto"/>
              </w:rPr>
            </w:pPr>
            <w:r>
              <w:rPr>
                <w:rFonts w:ascii="Arial" w:cs="Arial" w:eastAsia="Arial" w:hAnsi="Arial"/>
                <w:sz w:val="16"/>
                <w:szCs w:val="16"/>
                <w:color w:val="auto"/>
                <w:w w:val="90"/>
              </w:rPr>
              <w:t>- 30.00%</w:t>
            </w:r>
          </w:p>
        </w:tc>
        <w:tc>
          <w:tcPr>
            <w:tcW w:w="1380" w:type="dxa"/>
            <w:vAlign w:val="bottom"/>
          </w:tcPr>
          <w:p>
            <w:pPr>
              <w:ind w:left="20"/>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Probability of default</w:t>
            </w:r>
          </w:p>
        </w:tc>
        <w:tc>
          <w:tcPr>
            <w:tcW w:w="31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92"/>
              </w:rPr>
              <w:t>0.00% - 10.00% (2.59%)</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Arial" w:cs="Arial" w:eastAsia="Arial" w:hAnsi="Arial"/>
                <w:sz w:val="16"/>
                <w:szCs w:val="16"/>
                <w:color w:val="auto"/>
              </w:rPr>
              <w:t>Loss severity</w:t>
            </w:r>
          </w:p>
        </w:tc>
        <w:tc>
          <w:tcPr>
            <w:tcW w:w="1180" w:type="dxa"/>
            <w:vAlign w:val="bottom"/>
          </w:tcPr>
          <w:p>
            <w:pPr>
              <w:jc w:val="right"/>
              <w:spacing w:after="0"/>
              <w:rPr>
                <w:sz w:val="20"/>
                <w:szCs w:val="20"/>
                <w:color w:val="auto"/>
              </w:rPr>
            </w:pPr>
            <w:r>
              <w:rPr>
                <w:rFonts w:ascii="Arial" w:cs="Arial" w:eastAsia="Arial" w:hAnsi="Arial"/>
                <w:sz w:val="16"/>
                <w:szCs w:val="16"/>
                <w:color w:val="auto"/>
              </w:rPr>
              <w:t>15.00%</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- 100.00% (30.03%)</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318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92"/>
              </w:rPr>
              <w:t>2.21% - 13.79% (5.04%)</w:t>
            </w:r>
          </w:p>
        </w:tc>
        <w:tc>
          <w:tcPr>
            <w:tcW w:w="0" w:type="dxa"/>
            <w:vAlign w:val="bottom"/>
          </w:tcPr>
          <w:p>
            <w:pPr>
              <w:spacing w:after="0"/>
              <w:rPr>
                <w:sz w:val="1"/>
                <w:szCs w:val="1"/>
                <w:color w:val="auto"/>
              </w:rPr>
            </w:pPr>
          </w:p>
        </w:tc>
      </w:tr>
      <w:tr>
        <w:trPr>
          <w:trHeight w:val="33"/>
        </w:trPr>
        <w:tc>
          <w:tcPr>
            <w:tcW w:w="2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significant unobservable inputs impacting the fair value measurement of private label residential MBS and CMOs include voluntary prepayment rates, probability of default, loss severity given default and discount rates. Generally, increases in probability of default, loss severity or discount rates would result in a lower fair value measurement. Alternatively, decreases in probability of default, loss severity or discount rates would result in a higher fair value measurement. For securities with less favorable credit characteristics, decreases in voluntary prepayment speeds may be interpreted as a deterioration in the overall credit quality of the underlying collateral and as such, lead to lower fair value measurements. The fair value measurements of those securities with higher levels of subordination will be less sensitive to changes in these unobservable inputs other than discount rates, while securities with lower levels of subordination will show a higher degree of sensitivity to changes in these unobservable inputs other than discount rates. Generally, a change in the assumption used for probability of default is accompanied by a directionally similar change in the assumption used for loss severity given default and a directionally opposite change in the assumption used for voluntary prepayment rate.</w:t>
      </w:r>
    </w:p>
    <w:p>
      <w:pPr>
        <w:spacing w:after="0" w:line="200" w:lineRule="exact"/>
        <w:rPr>
          <w:sz w:val="20"/>
          <w:szCs w:val="20"/>
          <w:color w:val="auto"/>
        </w:rPr>
      </w:pPr>
    </w:p>
    <w:p>
      <w:pPr>
        <w:spacing w:after="0" w:line="27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56" w:right="239" w:bottom="1440" w:gutter="0" w:footer="0" w:header="0"/>
        </w:sectPr>
      </w:pPr>
    </w:p>
    <w:bookmarkStart w:id="40" w:name="page41"/>
    <w:bookmarkEnd w:id="40"/>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provides information about the valuation techniques and significant unobservable inputs used in the valuation of servicing rights as of March 31, 2019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 at</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Unobservable</w:t>
            </w:r>
          </w:p>
        </w:tc>
        <w:tc>
          <w:tcPr>
            <w:tcW w:w="2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Range (Weighted</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2"/>
            <w:vMerge w:val="continue"/>
          </w:tcPr>
          <w:p>
            <w:pPr>
              <w:spacing w:after="0"/>
              <w:rPr>
                <w:sz w:val="5"/>
                <w:szCs w:val="5"/>
                <w:color w:val="auto"/>
              </w:rPr>
            </w:pPr>
          </w:p>
        </w:tc>
        <w:tc>
          <w:tcPr>
            <w:tcW w:w="2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March 31, 2019</w:t>
            </w:r>
          </w:p>
        </w:tc>
        <w:tc>
          <w:tcPr>
            <w:tcW w:w="12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Valuation Technique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Input</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0"/>
              </w:rPr>
              <w:t>Average)</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servicing rights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9,585</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Prepayment rate</w:t>
            </w:r>
          </w:p>
        </w:tc>
        <w:tc>
          <w:tcPr>
            <w:tcW w:w="2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1.67% - 18.51% (13.30%)</w:t>
            </w:r>
          </w:p>
        </w:tc>
        <w:tc>
          <w:tcPr>
            <w:tcW w:w="0" w:type="dxa"/>
            <w:vAlign w:val="bottom"/>
          </w:tcPr>
          <w:p>
            <w:pPr>
              <w:spacing w:after="0"/>
              <w:rPr>
                <w:sz w:val="1"/>
                <w:szCs w:val="1"/>
                <w:color w:val="auto"/>
              </w:rPr>
            </w:pPr>
          </w:p>
        </w:tc>
      </w:tr>
      <w:tr>
        <w:trPr>
          <w:trHeight w:val="258"/>
        </w:trPr>
        <w:tc>
          <w:tcPr>
            <w:tcW w:w="3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Discount rate</w:t>
            </w:r>
          </w:p>
        </w:tc>
        <w:tc>
          <w:tcPr>
            <w:tcW w:w="2280" w:type="dxa"/>
            <w:vAlign w:val="bottom"/>
          </w:tcPr>
          <w:p>
            <w:pPr>
              <w:jc w:val="center"/>
              <w:spacing w:after="0"/>
              <w:rPr>
                <w:sz w:val="20"/>
                <w:szCs w:val="20"/>
                <w:color w:val="auto"/>
              </w:rPr>
            </w:pPr>
            <w:r>
              <w:rPr>
                <w:rFonts w:ascii="Arial" w:cs="Arial" w:eastAsia="Arial" w:hAnsi="Arial"/>
                <w:sz w:val="14"/>
                <w:szCs w:val="14"/>
                <w:color w:val="auto"/>
                <w:w w:val="94"/>
              </w:rPr>
              <w:t>3.84% - 20.58% (12.70%)</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 xml:space="preserve">Increases in prepayment rates or discount rates would result in lower fair value measurements and decreases in prepayment rates or discount rates would result in higher fair value measurements. </w:t>
      </w:r>
      <w:r>
        <w:rPr>
          <w:rFonts w:ascii="Arial" w:cs="Arial" w:eastAsia="Arial" w:hAnsi="Arial"/>
          <w:sz w:val="18"/>
          <w:szCs w:val="18"/>
          <w:color w:val="252525"/>
        </w:rPr>
        <w:t>Although the prepayment rate and the discount rate are not directly interrelated, they generally move in opposite</w:t>
      </w:r>
      <w:r>
        <w:rPr>
          <w:rFonts w:ascii="Arial" w:cs="Arial" w:eastAsia="Arial" w:hAnsi="Arial"/>
          <w:sz w:val="18"/>
          <w:szCs w:val="18"/>
          <w:color w:val="auto"/>
        </w:rPr>
        <w:t xml:space="preserve"> </w:t>
      </w:r>
      <w:r>
        <w:rPr>
          <w:rFonts w:ascii="Arial" w:cs="Arial" w:eastAsia="Arial" w:hAnsi="Arial"/>
          <w:sz w:val="18"/>
          <w:szCs w:val="18"/>
          <w:color w:val="252525"/>
        </w:rPr>
        <w:t>directions.</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7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Following is a description of the methodologies used to estimate the fair values of assets and liabilities that may be measured at fair value on a non-recurring basis, and the level within the fair value hierarchy in which those measurements are typically classified.</w:t>
      </w:r>
    </w:p>
    <w:p>
      <w:pPr>
        <w:spacing w:after="0" w:line="22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i w:val="1"/>
          <w:iCs w:val="1"/>
          <w:color w:val="auto"/>
        </w:rPr>
        <w:t>Impaired loans, OREO and other repossessed assets</w:t>
      </w:r>
      <w:r>
        <w:rPr>
          <w:rFonts w:ascii="Arial" w:cs="Arial" w:eastAsia="Arial" w:hAnsi="Arial"/>
          <w:sz w:val="18"/>
          <w:szCs w:val="18"/>
          <w:color w:val="auto"/>
        </w:rPr>
        <w:t>—The carrying amount of collateral dependent impaired loans is typically based on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underlying collateral, which may be real estate or other business assets, less estimated costs to sell. The carrying value of OREO is initially measured based on the fair value of the real estate acquired in foreclosure and subsequently adjusted to the lower of cost or estimated fair value, less estimated cost to sell. Fair values of real estate collateral and OREO are typically based on third-party real estate appraisals which utilize market and income approaches to valuation incorporating both observable and unobservable inputs. When current appraisals are not available, the Company may use brokers’ price opinions, home price indices or other available information about changes in real estate market conditions to adjust the latest appraised value available. These adjustments to appraised values may be subjective and involve significant management judgment. The fair value of repossessed assets or collateral consisting of other business assets may be based on third-party appraisals or internal analyses that use market approaches to valuation incorporating primarily unobservable inputs.</w:t>
      </w:r>
    </w:p>
    <w:p>
      <w:pPr>
        <w:spacing w:after="0" w:line="25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Fair value measurements related to collateral dependent impaired loans, OREO and other repossessed assets are classified within levels 2 and 3 of the fair value hierarchy.</w:t>
      </w:r>
    </w:p>
    <w:p>
      <w:pPr>
        <w:spacing w:after="0" w:line="22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tables present the carrying value of assets for which non-recurring changes in fair value have been recorded for the periods indicated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210"/>
        </w:trPr>
        <w:tc>
          <w:tcPr>
            <w:tcW w:w="4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ind w:left="44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ind w:right="135"/>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4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ind w:right="135"/>
              <w:spacing w:after="0"/>
              <w:rPr>
                <w:sz w:val="20"/>
                <w:szCs w:val="20"/>
                <w:color w:val="auto"/>
              </w:rPr>
            </w:pPr>
            <w:r>
              <w:rPr>
                <w:rFonts w:ascii="Arial" w:cs="Arial" w:eastAsia="Arial" w:hAnsi="Arial"/>
                <w:sz w:val="16"/>
                <w:szCs w:val="16"/>
                <w:b w:val="1"/>
                <w:bCs w:val="1"/>
                <w:color w:val="auto"/>
                <w:w w:val="90"/>
              </w:rPr>
              <w:t>Losses from Fair Value</w:t>
            </w:r>
          </w:p>
        </w:tc>
      </w:tr>
      <w:tr>
        <w:trPr>
          <w:trHeight w:val="210"/>
        </w:trPr>
        <w:tc>
          <w:tcPr>
            <w:tcW w:w="4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2060" w:type="dxa"/>
            <w:vAlign w:val="bottom"/>
          </w:tcPr>
          <w:p>
            <w:pPr>
              <w:jc w:val="center"/>
              <w:ind w:right="135"/>
              <w:spacing w:after="0"/>
              <w:rPr>
                <w:sz w:val="20"/>
                <w:szCs w:val="20"/>
                <w:color w:val="auto"/>
              </w:rPr>
            </w:pPr>
            <w:r>
              <w:rPr>
                <w:rFonts w:ascii="Arial" w:cs="Arial" w:eastAsia="Arial" w:hAnsi="Arial"/>
                <w:sz w:val="16"/>
                <w:szCs w:val="16"/>
                <w:b w:val="1"/>
                <w:bCs w:val="1"/>
                <w:color w:val="auto"/>
                <w:w w:val="88"/>
              </w:rPr>
              <w:t>Changes</w:t>
            </w:r>
          </w:p>
        </w:tc>
      </w:tr>
      <w:tr>
        <w:trPr>
          <w:trHeight w:val="33"/>
        </w:trPr>
        <w:tc>
          <w:tcPr>
            <w:tcW w:w="4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OREO and repossessed assets</w:t>
            </w:r>
          </w:p>
        </w:tc>
        <w:tc>
          <w:tcPr>
            <w:tcW w:w="86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5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Impaired loans</w:t>
            </w:r>
          </w:p>
        </w:tc>
        <w:tc>
          <w:tcPr>
            <w:tcW w:w="86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24,671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24,671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auto"/>
              <w:bottom w:val="single" w:sz="8" w:color="auto"/>
            </w:tcBorders>
            <w:gridSpan w:val="2"/>
          </w:tcPr>
          <w:p>
            <w:pPr>
              <w:spacing w:after="0" w:line="20" w:lineRule="exact"/>
              <w:rPr>
                <w:sz w:val="1"/>
                <w:szCs w:val="1"/>
                <w:color w:val="auto"/>
              </w:rPr>
            </w:pPr>
          </w:p>
        </w:tc>
      </w:tr>
      <w:tr>
        <w:trPr>
          <w:trHeight w:val="608"/>
        </w:trPr>
        <w:tc>
          <w:tcPr>
            <w:tcW w:w="4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210"/>
        </w:trPr>
        <w:tc>
          <w:tcPr>
            <w:tcW w:w="4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ind w:left="440"/>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ind w:right="135"/>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4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ind w:right="135"/>
              <w:spacing w:after="0"/>
              <w:rPr>
                <w:sz w:val="20"/>
                <w:szCs w:val="20"/>
                <w:color w:val="auto"/>
              </w:rPr>
            </w:pPr>
            <w:r>
              <w:rPr>
                <w:rFonts w:ascii="Arial" w:cs="Arial" w:eastAsia="Arial" w:hAnsi="Arial"/>
                <w:sz w:val="16"/>
                <w:szCs w:val="16"/>
                <w:b w:val="1"/>
                <w:bCs w:val="1"/>
                <w:color w:val="auto"/>
                <w:w w:val="90"/>
              </w:rPr>
              <w:t>Losses from Fair Value</w:t>
            </w:r>
          </w:p>
        </w:tc>
      </w:tr>
      <w:tr>
        <w:trPr>
          <w:trHeight w:val="210"/>
        </w:trPr>
        <w:tc>
          <w:tcPr>
            <w:tcW w:w="4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2060" w:type="dxa"/>
            <w:vAlign w:val="bottom"/>
          </w:tcPr>
          <w:p>
            <w:pPr>
              <w:jc w:val="center"/>
              <w:ind w:right="135"/>
              <w:spacing w:after="0"/>
              <w:rPr>
                <w:sz w:val="20"/>
                <w:szCs w:val="20"/>
                <w:color w:val="auto"/>
              </w:rPr>
            </w:pPr>
            <w:r>
              <w:rPr>
                <w:rFonts w:ascii="Arial" w:cs="Arial" w:eastAsia="Arial" w:hAnsi="Arial"/>
                <w:sz w:val="16"/>
                <w:szCs w:val="16"/>
                <w:b w:val="1"/>
                <w:bCs w:val="1"/>
                <w:color w:val="auto"/>
                <w:w w:val="88"/>
              </w:rPr>
              <w:t>Changes</w:t>
            </w:r>
          </w:p>
        </w:tc>
      </w:tr>
      <w:tr>
        <w:trPr>
          <w:trHeight w:val="33"/>
        </w:trPr>
        <w:tc>
          <w:tcPr>
            <w:tcW w:w="4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OREO and repossessed assets</w:t>
            </w: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0"/>
        </w:trPr>
        <w:tc>
          <w:tcPr>
            <w:tcW w:w="4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51"/>
        </w:trPr>
        <w:tc>
          <w:tcPr>
            <w:tcW w:w="4120" w:type="dxa"/>
            <w:vAlign w:val="bottom"/>
          </w:tcPr>
          <w:p>
            <w:pPr>
              <w:ind w:left="40"/>
              <w:spacing w:after="0"/>
              <w:rPr>
                <w:sz w:val="20"/>
                <w:szCs w:val="20"/>
                <w:color w:val="auto"/>
              </w:rPr>
            </w:pPr>
            <w:r>
              <w:rPr>
                <w:rFonts w:ascii="Arial" w:cs="Arial" w:eastAsia="Arial" w:hAnsi="Arial"/>
                <w:sz w:val="18"/>
                <w:szCs w:val="18"/>
                <w:color w:val="auto"/>
              </w:rPr>
              <w:t>Impaired loans</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12,522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74,895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87,417</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(3,755)</w:t>
            </w:r>
          </w:p>
        </w:tc>
      </w:tr>
      <w:tr>
        <w:trPr>
          <w:trHeight w:val="20"/>
        </w:trPr>
        <w:tc>
          <w:tcPr>
            <w:tcW w:w="4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Included in the tables above are impaired taxi medallion loans with carrying values of $78.3 million at March 31, 2018. Losses from fair value changes included in the tables above include $2.5 million recognized on impaired taxi medallion loans during the three months ended March 31, 2018. In addition, OREO and repossessed assets reported above included repossessed taxi medallions with carrying values of $1.7 million at March 31, 2018. Losses of $0.5 million were recognized on repossessed taxi medallions during the three months ended March 31, 2018.</w:t>
      </w:r>
    </w:p>
    <w:p>
      <w:pPr>
        <w:sectPr>
          <w:pgSz w:w="11900" w:h="16838" w:orient="portrait"/>
          <w:cols w:equalWidth="0" w:num="1">
            <w:col w:w="11420"/>
          </w:cols>
          <w:pgMar w:left="240" w:top="256" w:right="239" w:bottom="838"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256" w:right="239" w:bottom="838" w:gutter="0" w:footer="0" w:header="0"/>
          <w:type w:val="continuous"/>
        </w:sectPr>
      </w:pPr>
    </w:p>
    <w:bookmarkStart w:id="41" w:name="page42"/>
    <w:bookmarkEnd w:id="41"/>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presents the carrying value and fair value of financial instruments and the level within the fair value hierarchy in which those measurements are classified at the dates indicated (dollars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4920" w:type="dxa"/>
            <w:vAlign w:val="bottom"/>
          </w:tcPr>
          <w:p>
            <w:pPr>
              <w:spacing w:after="0"/>
              <w:rPr>
                <w:sz w:val="22"/>
                <w:szCs w:val="22"/>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w:t>
            </w:r>
          </w:p>
        </w:tc>
        <w:tc>
          <w:tcPr>
            <w:tcW w:w="18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22"/>
                <w:szCs w:val="22"/>
                <w:color w:val="auto"/>
              </w:rPr>
            </w:pPr>
          </w:p>
        </w:tc>
        <w:tc>
          <w:tcPr>
            <w:tcW w:w="1120" w:type="dxa"/>
            <w:vAlign w:val="bottom"/>
          </w:tcPr>
          <w:p>
            <w:pPr>
              <w:jc w:val="right"/>
              <w:ind w:right="271"/>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241,451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241,451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382,073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382,073</w:t>
            </w: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8,374,624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8,374,959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8,166,878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8,167,127</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Non-marketable equity securities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276,827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276,827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267,052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267,052</w:t>
            </w: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39,931</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Loans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22,244,114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22,317,253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21,867,077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21,868,258</w:t>
            </w: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Demand, savings and money market deposits</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16,912,407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16,912,407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16,654,465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16,654,465</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6,766,876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6,776,885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6,819,758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6,820,355</w:t>
            </w: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funds purchased</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175,000</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FHLB advances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5,026,000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5,039,168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4,796,000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4,810,446</w:t>
            </w:r>
          </w:p>
        </w:tc>
      </w:tr>
      <w:tr>
        <w:trPr>
          <w:trHeight w:val="27"/>
        </w:trPr>
        <w:tc>
          <w:tcPr>
            <w:tcW w:w="4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and other borrowings</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402,701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416,142</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16,748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16,748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23,874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23,874</w:t>
            </w:r>
          </w:p>
        </w:tc>
      </w:tr>
    </w:tbl>
    <w:p>
      <w:pPr>
        <w:spacing w:after="0" w:line="200" w:lineRule="exact"/>
        <w:rPr>
          <w:sz w:val="20"/>
          <w:szCs w:val="20"/>
          <w:color w:val="auto"/>
        </w:rPr>
      </w:pPr>
    </w:p>
    <w:p>
      <w:pPr>
        <w:spacing w:after="0" w:line="37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pacing w:after="0" w:line="31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Company issues off-balance sheet financial instruments to meet the financing needs of its customers. These financial instruments include commitments to fund loans, unfunded commitments under existing lines of credit, and commercial and standby letters of credit. These commitments expose the Company to varying degrees of credit and market risk which are essentially the same as those involved in extending loans to customers, and are subject to the same credit policies used in underwriting loans. Collateral may be obtained based on the Company’s credit evaluation of the counterparty. The Company’s maximum exposure to credit loss is represented by the contractual amount of these commitments.</w:t>
      </w:r>
    </w:p>
    <w:p>
      <w:pPr>
        <w:spacing w:after="0" w:line="3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Commitments to fund loans</w:t>
      </w:r>
    </w:p>
    <w:p>
      <w:pPr>
        <w:spacing w:after="0" w:line="27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These are agreements to lend funds to customers as long as there is no violation of any condition established in the contract. Commitments to fund loans generally have fixed expiration dates or other termination clauses and may require payment of a fee. Many of these commitments are expected to expire without being funded and, therefore, the total commitment amounts do not necessarily represent future liquidity requirements.</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Unfunded commitments under lines of credit</w:t>
      </w:r>
    </w:p>
    <w:p>
      <w:pPr>
        <w:spacing w:after="0" w:line="27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Unfunded commitments under lines of credit include commercial, commercial real estate, home equity and consumer lines of credit to existing customers. Some of these commitments may mature without being fully funded.</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Commercial and standby letters of credit</w:t>
      </w:r>
    </w:p>
    <w:p>
      <w:pPr>
        <w:spacing w:after="0" w:line="27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Letters of credit are conditional commitments issued by the Company to guarantee the performance of a customer to a third party. These letters of credit are primarily issued to support trade transactions or guarantee arrangements. The credit risk involved in issuing letters of credit is essentially the same as that involved in extending loan facilities to customers.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256" w:right="239" w:bottom="1440" w:gutter="0" w:footer="0" w:header="0"/>
          <w:type w:val="continuous"/>
        </w:sectPr>
      </w:pPr>
    </w:p>
    <w:bookmarkStart w:id="42" w:name="page43"/>
    <w:bookmarkEnd w:id="42"/>
    <w:p>
      <w:pPr>
        <w:ind w:left="340"/>
        <w:spacing w:after="0"/>
        <w:rPr>
          <w:sz w:val="20"/>
          <w:szCs w:val="20"/>
          <w:color w:val="auto"/>
        </w:rPr>
      </w:pPr>
      <w:r>
        <w:rPr>
          <w:rFonts w:ascii="Arial" w:cs="Arial" w:eastAsia="Arial" w:hAnsi="Arial"/>
          <w:sz w:val="14"/>
          <w:szCs w:val="14"/>
          <w:u w:val="single" w:color="auto"/>
          <w:color w:val="0000EE"/>
        </w:rPr>
        <w:t>Table of Contents</w:t>
      </w:r>
    </w:p>
    <w:p>
      <w:pPr>
        <w:spacing w:after="0" w:line="272" w:lineRule="exact"/>
        <w:rPr>
          <w:sz w:val="20"/>
          <w:szCs w:val="20"/>
          <w:color w:val="auto"/>
        </w:rPr>
      </w:pPr>
    </w:p>
    <w:p>
      <w:pPr>
        <w:jc w:val="center"/>
        <w:ind w:left="260" w:right="2720"/>
        <w:spacing w:after="0" w:line="275" w:lineRule="auto"/>
        <w:rPr>
          <w:sz w:val="20"/>
          <w:szCs w:val="20"/>
          <w:color w:val="auto"/>
        </w:rPr>
      </w:pPr>
      <w:r>
        <w:rPr>
          <w:rFonts w:ascii="Arial" w:cs="Arial" w:eastAsia="Arial" w:hAnsi="Arial"/>
          <w:sz w:val="18"/>
          <w:szCs w:val="18"/>
          <w:b w:val="1"/>
          <w:bCs w:val="1"/>
          <w:color w:val="auto"/>
        </w:rPr>
        <w:t>BANKUNITED, INC. AND SUBSIDIARIES NOTES TO CONSOLIDATED FINANCIAL STATEMENTS - UNAUDITED March 31, 2019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rPr>
              <w:t>Total lending related commitments outstanding at March 31, 2019 were as follows (in thousands):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9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to fund loans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502,649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Commitments to purchase loans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774,024</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commitments under lines of credit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2,828,533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Commercial and standby letters of credit</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85,039</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4,190,245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Proceedings</w:t>
      </w:r>
    </w:p>
    <w:p>
      <w:pPr>
        <w:spacing w:after="0" w:line="27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is involved as plaintiff or defendant in various legal actions arising in the normal course of business. In the opinion of management, based upon advice of legal counsel, the likelihood is remote that the impact of these proceedings, either individually or in the aggregate, would be material to the Company’s consolidated financial position, results of operations or cash flows.</w:t>
      </w:r>
    </w:p>
    <w:p>
      <w:pPr>
        <w:spacing w:after="0" w:line="3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The following discussion and analysis is intended to focus on significant matters impacting and changes in the financial condition and results of operations of the Company during the three months ended March 31, 2019 and should be read in conjunction with the consolidated financial statements and notes hereto included in this Quarterly Report on Form 10-Q and BKU's 2018 Annual Report on Form 10-K for the year ended December 31, 2018 (the "2018 Annual Report on Form 10-K”).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reflect the Company’s current views with respect to, among other things, future events and financial performance. Words such as “anticipates,” “expects,” “intends,” “plans,” “believes,” “seeks,” “estimates” and similar expressions identify forward-looking statements. These forward-looking statements are based on the historical performance of the Company or on the Company’s current plans, estimates and expectations. The inclusion of this forward-looking information should not be regarded as a representation by the Company that the future plans, estimates or expectations so contemplated will be achieved. Such forward-looking statements are subject to various risks and uncertainties and assumptions relating to the Company’s operations, financial results, financial condition, business prospects, growth strategy and liquidity. If one or more of these or other risks or uncertainties materialize, or if the Company’s underlying assumptions prove to be incorrect, the Company’s actual results may vary materially from those indicated in these statements. A number of important factors could cause actual results to differ materially from those indicated by the forward-looking statements, including, but not limited to, the risk factors described in Part I, Item 1A of the 2018 Annual Report on Form 10-K. The Company does not undertake any obligation to publicly update or review any forward looking statement, whether as a result of new information, future developments or otherwise.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Highlights</w:t>
      </w:r>
    </w:p>
    <w:p>
      <w:pPr>
        <w:spacing w:after="0" w:line="27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evaluating our financial performance, we consider the level of and trends in net interest income, the net interest margin, levels and composition of non-interest income and non-interest expense, performance ratios such as the return on average equity and return on average assets and asset quality ratios, including the ratio of non-performing loans to total loans, non-performing assets to total assets, and portfolio delinquency and charge-off trends. We consider growth in earning assets and deposits, trends in funding mix and cost of funds. We analyze these ratios and trends against our own historical performance, our budgeted performance and the financial condition and performance of comparable financial institutions.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Quarterly highlights include:</w:t>
      </w:r>
    </w:p>
    <w:p>
      <w:pPr>
        <w:spacing w:after="0" w:line="279" w:lineRule="exact"/>
        <w:rPr>
          <w:sz w:val="20"/>
          <w:szCs w:val="20"/>
          <w:color w:val="auto"/>
        </w:rPr>
      </w:pPr>
    </w:p>
    <w:p>
      <w:pPr>
        <w:ind w:left="660" w:right="34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for the three months ended March 31, 2019 was $66.0 million, or $0.65 per diluted share, compared to $85.2 million, or $0.77 per diluted share, for the three months ended March 31, 2018. Non-loss share diluted earnings per share, as previously reported, for the three months ended March 31, 2018 was $0.54. Earnings for the three months</w:t>
      </w:r>
    </w:p>
    <w:p>
      <w:pPr>
        <w:sectPr>
          <w:pgSz w:w="11900" w:h="16838" w:orient="portrait"/>
          <w:cols w:equalWidth="0" w:num="1">
            <w:col w:w="11420"/>
          </w:cols>
          <w:pgMar w:left="240" w:top="256"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256" w:right="239" w:bottom="1440" w:gutter="0" w:footer="0" w:header="0"/>
          <w:type w:val="continuous"/>
        </w:sectPr>
      </w:pPr>
    </w:p>
    <w:bookmarkStart w:id="43" w:name="page44"/>
    <w:bookmarkEnd w:id="43"/>
    <w:p>
      <w:pPr>
        <w:ind w:left="660"/>
        <w:spacing w:after="0"/>
        <w:rPr>
          <w:sz w:val="20"/>
          <w:szCs w:val="20"/>
          <w:color w:val="auto"/>
        </w:rPr>
      </w:pPr>
      <w:r>
        <w:rPr>
          <w:rFonts w:ascii="Arial" w:cs="Arial" w:eastAsia="Arial" w:hAnsi="Arial"/>
          <w:sz w:val="16"/>
          <w:szCs w:val="16"/>
          <w:color w:val="auto"/>
        </w:rPr>
        <w:t>ended March 31, 2019 generated an annualized return on average stockholders' equity of 9.05% and an annualized return on average assets of 0.82%.</w:t>
      </w:r>
    </w:p>
    <w:p>
      <w:pPr>
        <w:spacing w:after="0" w:line="397" w:lineRule="exact"/>
        <w:rPr>
          <w:sz w:val="20"/>
          <w:szCs w:val="20"/>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 the quarter ended March 31, 2019, total deposits increased by $205 million, of which $143 million was non-interest bearing demand deposits. Non-interest bearing demand deposits grew to 15.9% of total deposits at March 31, 2019, from 14.0% at the end of 2017.</w:t>
      </w:r>
    </w:p>
    <w:p>
      <w:pPr>
        <w:spacing w:after="0" w:line="281"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Loans and leases, including equipment under operating lease, grew by $390 million during the quarter. At March 31, 2019, commercial real estate loans represented 34% of total loans and C&amp;I loans represented 44% of the portfolio. By comparison, at the end of 2017, commercial real estate loans represented 38% of total loans while C&amp;I loans accounted for 42% of the portfolio.</w:t>
      </w:r>
    </w:p>
    <w:p>
      <w:pPr>
        <w:spacing w:after="0" w:line="316" w:lineRule="exact"/>
        <w:rPr>
          <w:rFonts w:ascii="Arial" w:cs="Arial" w:eastAsia="Arial" w:hAnsi="Arial"/>
          <w:sz w:val="18"/>
          <w:szCs w:val="18"/>
          <w:color w:val="auto"/>
        </w:rPr>
      </w:pPr>
    </w:p>
    <w:p>
      <w:pPr>
        <w:ind w:left="660" w:right="10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expected, net interest income decreased by $56.9 million to $190.9 million for the quarter ended March 31, 2019 from $247.8 million for the quarter ended March 31, 2018. The net interest margin, calculated on a tax-equivalent basis, was 2.54% for the quarter ended March 31, 2019 compared to 4.01% for the immediately preceding quarter ended December 31, 2018 and 3.56% for the quarter ended March 31, 2018. The most significant reason for the declines in net interest income and the net interest margin was the decrease in accretion on residential ACI loans (formerly covered loans).</w:t>
      </w:r>
    </w:p>
    <w:p>
      <w:pPr>
        <w:spacing w:after="0" w:line="323"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quarter ended March 31, 2019, the Company repurchased approximately 1.1 million shares of its common stock for an aggregate purchase price of approximately $40 million, at a weighted average price of $35.91 per share.</w:t>
      </w:r>
    </w:p>
    <w:p>
      <w:pPr>
        <w:spacing w:after="0" w:line="30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Book value per common share grew to $29.71 at March 31, 2019 from $29.49 at December 31, 2018 while tangible book value per common share increased to $28.92 from $28.71 over the same period.</w:t>
      </w:r>
    </w:p>
    <w:p>
      <w:pPr>
        <w:spacing w:after="0" w:line="305"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previously disclosed, the Single Family Shared-Loss Agreement between BankUnited N.A. ("the Bank") and the FDIC was terminated on February 13, 2019.</w:t>
      </w:r>
    </w:p>
    <w:p>
      <w:pPr>
        <w:spacing w:after="0" w:line="30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Asset quality remained strong. The ratio of non-performing loans to total loans was 0.60% and the ratio of non-performing assets to total assets was 0.44% at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79" w:lineRule="exact"/>
        <w:rPr>
          <w:sz w:val="20"/>
          <w:szCs w:val="20"/>
          <w:color w:val="auto"/>
        </w:rPr>
      </w:pPr>
    </w:p>
    <w:p>
      <w:pPr>
        <w:jc w:val="both"/>
        <w:ind w:right="460" w:firstLine="324"/>
        <w:spacing w:after="0" w:line="259" w:lineRule="auto"/>
        <w:rPr>
          <w:sz w:val="20"/>
          <w:szCs w:val="20"/>
          <w:color w:val="auto"/>
        </w:rPr>
      </w:pPr>
      <w:r>
        <w:rPr>
          <w:rFonts w:ascii="Arial" w:cs="Arial" w:eastAsia="Arial" w:hAnsi="Arial"/>
          <w:sz w:val="18"/>
          <w:szCs w:val="18"/>
          <w:color w:val="auto"/>
        </w:rPr>
        <w:t>Net interest income is the difference between interest earned on interest earning assets and interest incurred on interest bearing liabilities and is the primary driver of core earnings. Net interest income is impacted by the relative mix of interest earning assets and interest bearing liabilities, the ratio of interest earning assets to total assets and of interest bearing liabilities to total funding sources, movements in market interest rates, the shape of the yield curve, levels of non-performing assets and pricing pressure from competitors.</w:t>
      </w:r>
    </w:p>
    <w:p>
      <w:pPr>
        <w:spacing w:after="0" w:line="24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mix of interest earning assets is influenced by loan demand, market and competitive conditions in our primary lending markets and by management's continual assessment of the rate of return and relative risk associated with various classes of earning assets. The mix of interest bearing liabilities is influenced by the Company's liquidity profile, management's assessment of the desire for lower cost funding sources weighed against relationships with customers and growth expectations and is impacted by competition for deposits in the Company's markets and the availability and pricing of other sources of funds.</w:t>
      </w:r>
    </w:p>
    <w:p>
      <w:pPr>
        <w:spacing w:after="0" w:line="200" w:lineRule="exact"/>
        <w:rPr>
          <w:sz w:val="20"/>
          <w:szCs w:val="20"/>
          <w:color w:val="auto"/>
        </w:rPr>
      </w:pPr>
    </w:p>
    <w:p>
      <w:pPr>
        <w:spacing w:after="0" w:line="25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63" w:right="239" w:bottom="1440" w:gutter="0" w:footer="0" w:header="0"/>
        </w:sectPr>
      </w:pPr>
    </w:p>
    <w:bookmarkStart w:id="44" w:name="page45"/>
    <w:bookmarkEnd w:id="44"/>
    <w:p>
      <w:pPr>
        <w:ind w:firstLine="324"/>
        <w:spacing w:after="0" w:line="255" w:lineRule="auto"/>
        <w:rPr>
          <w:sz w:val="20"/>
          <w:szCs w:val="20"/>
          <w:color w:val="auto"/>
        </w:rPr>
      </w:pPr>
      <w:r>
        <w:rPr>
          <w:rFonts w:ascii="Arial" w:cs="Arial" w:eastAsia="Arial" w:hAnsi="Arial"/>
          <w:sz w:val="18"/>
          <w:szCs w:val="18"/>
          <w:color w:val="auto"/>
        </w:rPr>
        <w:t>The following table presents, for the periods indicated, information about (i) average balances, the total dollar amount of taxable equivalent interest income from earning assets and the resultant average yields; (ii) average balances, the total dollar amount of interest expense on interest bearing liabilities and the resultant average rates; (iii) net interest income; (iv) the interest rate spread; and (v) the net interest margin. Non-accrual and restructured loans are included in the average balances presented in this table; however, interest income foregone on non-accrual loans is not included. Interest income, yields, spread and margin have been calculated on a tax-equivalent basis for loans and investment securities that are exempt from federal income taxes, at a federal tax rate of 21% (dollars in thousands):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Interest </w:t>
            </w:r>
            <w:r>
              <w:rPr>
                <w:rFonts w:ascii="Arial" w:cs="Arial" w:eastAsia="Arial" w:hAnsi="Arial"/>
                <w:sz w:val="8"/>
                <w:szCs w:val="8"/>
                <w:b w:val="1"/>
                <w:bCs w:val="1"/>
                <w:color w:val="auto"/>
              </w:rPr>
              <w:t>(1)(2)</w:t>
            </w:r>
          </w:p>
        </w:tc>
        <w:tc>
          <w:tcPr>
            <w:tcW w:w="940" w:type="dxa"/>
            <w:vAlign w:val="bottom"/>
          </w:tcPr>
          <w:p>
            <w:pPr>
              <w:jc w:val="right"/>
              <w:ind w:right="220"/>
              <w:spacing w:after="0" w:line="153" w:lineRule="exact"/>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Interest </w:t>
            </w:r>
            <w:r>
              <w:rPr>
                <w:rFonts w:ascii="Arial" w:cs="Arial" w:eastAsia="Arial" w:hAnsi="Arial"/>
                <w:sz w:val="8"/>
                <w:szCs w:val="8"/>
                <w:b w:val="1"/>
                <w:bCs w:val="1"/>
                <w:color w:val="auto"/>
              </w:rPr>
              <w:t>(1)(2)</w:t>
            </w:r>
          </w:p>
        </w:tc>
        <w:tc>
          <w:tcPr>
            <w:tcW w:w="940" w:type="dxa"/>
            <w:vAlign w:val="bottom"/>
          </w:tcPr>
          <w:p>
            <w:pPr>
              <w:jc w:val="right"/>
              <w:ind w:right="200"/>
              <w:spacing w:after="0" w:line="153"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940" w:type="dxa"/>
            <w:vAlign w:val="bottom"/>
          </w:tcPr>
          <w:p>
            <w:pPr>
              <w:jc w:val="right"/>
              <w:ind w:right="12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8"/>
                <w:szCs w:val="8"/>
                <w:b w:val="1"/>
                <w:bCs w:val="1"/>
                <w:color w:val="auto"/>
              </w:rPr>
              <w:t>(1)(2)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940" w:type="dxa"/>
            <w:vAlign w:val="bottom"/>
          </w:tcPr>
          <w:p>
            <w:pPr>
              <w:jc w:val="right"/>
              <w:ind w:right="12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8"/>
                <w:szCs w:val="8"/>
                <w:b w:val="1"/>
                <w:bCs w:val="1"/>
                <w:color w:val="auto"/>
              </w:rPr>
              <w:t>(1)(2)</w:t>
            </w: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Interest earning assets: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Non-covered loans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21,974,453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245,010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20,783,987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196,878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Covered loans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498,701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81,309</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65.22%</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21,974,453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245,010</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21,282,688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278,187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70"/>
        </w:trPr>
        <w:tc>
          <w:tcPr>
            <w:tcW w:w="3460" w:type="dxa"/>
            <w:vAlign w:val="bottom"/>
          </w:tcPr>
          <w:p>
            <w:pPr>
              <w:ind w:left="40"/>
              <w:spacing w:after="0"/>
              <w:rPr>
                <w:sz w:val="20"/>
                <w:szCs w:val="20"/>
                <w:color w:val="auto"/>
              </w:rPr>
            </w:pPr>
            <w:r>
              <w:rPr>
                <w:rFonts w:ascii="Arial" w:cs="Arial" w:eastAsia="Arial" w:hAnsi="Arial"/>
                <w:sz w:val="16"/>
                <w:szCs w:val="16"/>
                <w:color w:val="auto"/>
              </w:rPr>
              <w:t xml:space="preserve">Investment securities </w:t>
            </w:r>
            <w:r>
              <w:rPr>
                <w:rFonts w:ascii="Arial" w:cs="Arial" w:eastAsia="Arial" w:hAnsi="Arial"/>
                <w:sz w:val="21"/>
                <w:szCs w:val="21"/>
                <w:color w:val="auto"/>
                <w:vertAlign w:val="superscript"/>
              </w:rPr>
              <w:t>(3)</w:t>
            </w:r>
          </w:p>
        </w:tc>
        <w:tc>
          <w:tcPr>
            <w:tcW w:w="26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8,520,555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77,607</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6,772,449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51,524</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interest earning assets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496,141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4,852</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518,857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3,791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7"/>
        </w:trPr>
        <w:tc>
          <w:tcPr>
            <w:tcW w:w="3460" w:type="dxa"/>
            <w:vAlign w:val="bottom"/>
          </w:tcPr>
          <w:p>
            <w:pPr>
              <w:ind w:left="180"/>
              <w:spacing w:after="0"/>
              <w:rPr>
                <w:sz w:val="20"/>
                <w:szCs w:val="20"/>
                <w:color w:val="auto"/>
              </w:rPr>
            </w:pPr>
            <w:r>
              <w:rPr>
                <w:rFonts w:ascii="Arial" w:cs="Arial" w:eastAsia="Arial" w:hAnsi="Arial"/>
                <w:sz w:val="16"/>
                <w:szCs w:val="16"/>
                <w:color w:val="auto"/>
              </w:rPr>
              <w:t>Total interest earning assets</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30,991,149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327,469</w:t>
            </w:r>
          </w:p>
        </w:tc>
        <w:tc>
          <w:tcPr>
            <w:tcW w:w="1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28,573,994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333,502</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and lease losses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Non-interest earning assets</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1,603,922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1,944,678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32,483,997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30,373,456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Interest bearing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Interest bearing demand deposits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1,702,479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5,639</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1,600,009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4,157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Savings and money market deposits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11,453,980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52,817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10,799,270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29,054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Time deposits</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6,907,011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38,965</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6,314,137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23,150</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interest bearing deposits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20,063,470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97,421</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18,713,416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56,361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Federal funds purchased</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137,378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FHLB advances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4,660,222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27,374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4,459,389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18,297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Notes and other borrowings</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404,852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5,309</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402,840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5,309</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interest bearing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25,265,922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130,928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23,575,645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79,967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1"/>
        </w:trPr>
        <w:tc>
          <w:tcPr>
            <w:tcW w:w="3460" w:type="dxa"/>
            <w:vAlign w:val="bottom"/>
          </w:tcPr>
          <w:p>
            <w:pPr>
              <w:ind w:left="40"/>
              <w:spacing w:after="0"/>
              <w:rPr>
                <w:sz w:val="20"/>
                <w:szCs w:val="20"/>
                <w:color w:val="auto"/>
              </w:rPr>
            </w:pPr>
            <w:r>
              <w:rPr>
                <w:rFonts w:ascii="Arial" w:cs="Arial" w:eastAsia="Arial" w:hAnsi="Arial"/>
                <w:sz w:val="16"/>
                <w:szCs w:val="16"/>
                <w:color w:val="auto"/>
              </w:rPr>
              <w:t>Non-interest bearing demand deposits</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3,605,131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3,318,952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non-interest bearing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657,360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414,842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46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29,528,413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27,309,439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2,955,584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3,064,017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4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32,483,997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30,373,456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196,541</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253,535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ind w:left="40"/>
              <w:spacing w:after="0"/>
              <w:rPr>
                <w:sz w:val="20"/>
                <w:szCs w:val="20"/>
                <w:color w:val="auto"/>
              </w:rPr>
            </w:pPr>
            <w:r>
              <w:rPr>
                <w:rFonts w:ascii="Arial" w:cs="Arial" w:eastAsia="Arial" w:hAnsi="Arial"/>
                <w:sz w:val="16"/>
                <w:szCs w:val="16"/>
                <w:color w:val="auto"/>
              </w:rPr>
              <w:t>Interest rate spread</w:t>
            </w: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line="20" w:lineRule="exact"/>
              <w:rPr>
                <w:sz w:val="1"/>
                <w:szCs w:val="1"/>
                <w:color w:val="auto"/>
              </w:rPr>
            </w:pPr>
          </w:p>
        </w:tc>
      </w:tr>
      <w:tr>
        <w:trPr>
          <w:trHeight w:val="277"/>
        </w:trPr>
        <w:tc>
          <w:tcPr>
            <w:tcW w:w="3460" w:type="dxa"/>
            <w:vAlign w:val="bottom"/>
            <w:tcBorders>
              <w:bottom w:val="single" w:sz="8" w:color="CCEEFF"/>
            </w:tcBorders>
            <w:vMerge w:val="continue"/>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margin</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3633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right="20" w:hanging="332"/>
        <w:spacing w:after="0" w:line="27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a tax-equivalent basis where applicable. The tax-equivalent adjustment for tax-exempt loans was $4.4 million and $4.2 million and the tax-equivalent adjustment for tax-exempt investment securities was $1.3 million and $1.5 million for the three months ended March 31, 2019 and 2018, respectively.</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Annualized</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At fair value except for securities held to maturity</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Three months ended March 31, 2019 compared to three months ended March 31, 2018</w:t>
      </w:r>
    </w:p>
    <w:p>
      <w:pPr>
        <w:spacing w:after="0" w:line="27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Net interest income, calculated on a tax-equivalent basis, was $196.5 million for the three months ended March 31, 2019 compared to $253.5 million for the three months ended March 31, 2018, a decrease of $57.0 million. The decrease in net interest income was comprised of a decrease in tax-equivalent interest income of $6.0 million and an increase in interest expense of $51.0 million.</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935" w:right="259" w:bottom="1440" w:gutter="0" w:footer="0" w:header="0"/>
          <w:type w:val="continuous"/>
        </w:sectPr>
      </w:pPr>
    </w:p>
    <w:bookmarkStart w:id="45" w:name="page46"/>
    <w:bookmarkEnd w:id="45"/>
    <w:p>
      <w:pPr>
        <w:ind w:right="300" w:firstLine="324"/>
        <w:spacing w:after="0" w:line="259" w:lineRule="auto"/>
        <w:rPr>
          <w:sz w:val="20"/>
          <w:szCs w:val="20"/>
          <w:color w:val="auto"/>
        </w:rPr>
      </w:pPr>
      <w:r>
        <w:rPr>
          <w:rFonts w:ascii="Arial" w:cs="Arial" w:eastAsia="Arial" w:hAnsi="Arial"/>
          <w:sz w:val="18"/>
          <w:szCs w:val="18"/>
          <w:color w:val="auto"/>
        </w:rPr>
        <w:t>The decrease in tax-equivalent interest income was comprised primarily of a $33.2 million decrease in interest income from loans and a $26.1 million increase in interest income from investment securities. Decreased interest income from loans was primarily attributable to a 0.76% decrease in the tax-equivalent yield to 4.50% for the three months ended March 31, 2019 from 5.26% for the three months ended March 31, 2018, partially offset by a $692 million increase in the average balance outstanding.</w:t>
      </w:r>
    </w:p>
    <w:p>
      <w:pPr>
        <w:spacing w:after="0" w:line="241" w:lineRule="exact"/>
        <w:rPr>
          <w:sz w:val="20"/>
          <w:szCs w:val="20"/>
          <w:color w:val="auto"/>
        </w:rPr>
      </w:pPr>
    </w:p>
    <w:p>
      <w:pPr>
        <w:ind w:left="660" w:right="180" w:hanging="328"/>
        <w:spacing w:after="0" w:line="29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decline in the tax-equivalent yield on loans was mainly the result of the decrease in accretion on formerly covered residential ACI loans. Both the average balance of and yield on these loans declined. The decline in the average balance resulted from the sale of a substantial portion of the loans during 2018. The yield on the remaining loans declined to 33.00% for the three months ended March 31, 2019 from 65.22% for the three months ended March 31, 2018, due primarily to changes in assumptions about the remaining period over which accretable yield would be realized, attributable to management's decision to retain certain loans beyond expiration of the Single Family Shared-Loss Agreement.</w:t>
      </w:r>
    </w:p>
    <w:p>
      <w:pPr>
        <w:spacing w:after="0" w:line="77" w:lineRule="exact"/>
        <w:rPr>
          <w:rFonts w:ascii="Arial" w:cs="Arial" w:eastAsia="Arial" w:hAnsi="Arial"/>
          <w:sz w:val="16"/>
          <w:szCs w:val="16"/>
          <w:color w:val="auto"/>
        </w:rPr>
      </w:pPr>
    </w:p>
    <w:p>
      <w:pPr>
        <w:ind w:left="660" w:right="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tax-equivalent yield on loans other than formerly covered residential loans increased to 4.24% for the three months ended March 31, 2019, from 3.83% for the three months ended March 31, 2018. The most significant factor contributing to this increased yield was the impact of increases in benchmark interest rates.</w:t>
      </w:r>
    </w:p>
    <w:p>
      <w:pPr>
        <w:spacing w:after="0" w:line="31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average balance of investment securities increased by $1.7 billion for the three months ended March 31, 2019 from the three months ended March 31, 2018, while the tax-equivalent yield increased to 3.64% from 3.04%. The increase in tax-equivalent yield primarily reflects changes in portfolio composition and resetting of coupon rates on floating-rate securities.</w:t>
      </w:r>
    </w:p>
    <w:p>
      <w:pPr>
        <w:spacing w:after="0" w:line="235" w:lineRule="exact"/>
        <w:rPr>
          <w:sz w:val="20"/>
          <w:szCs w:val="20"/>
          <w:color w:val="auto"/>
        </w:rPr>
      </w:pPr>
    </w:p>
    <w:p>
      <w:pPr>
        <w:ind w:right="780" w:firstLine="324"/>
        <w:spacing w:after="0" w:line="342" w:lineRule="auto"/>
        <w:rPr>
          <w:sz w:val="20"/>
          <w:szCs w:val="20"/>
          <w:color w:val="auto"/>
        </w:rPr>
      </w:pPr>
      <w:r>
        <w:rPr>
          <w:rFonts w:ascii="Arial" w:cs="Arial" w:eastAsia="Arial" w:hAnsi="Arial"/>
          <w:sz w:val="16"/>
          <w:szCs w:val="16"/>
          <w:color w:val="auto"/>
        </w:rPr>
        <w:t>The primary components of the increase in interest expense for the three months ended March 31, 2019 as compared to the three months ended March 31, 2018 were a $41.1 million increase in interest expense on deposits and a $9.1 million increase in interest expense on FHLB advances.</w:t>
      </w:r>
    </w:p>
    <w:p>
      <w:pPr>
        <w:spacing w:after="0" w:line="178"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The increase in interest expense on deposits was attributable to an increase of $1.4 billion in average interest bearing deposits and an increase in the average cost of interest bearing deposits of 0.75% to 1.97% for the three months ended March 31, 2019 from 1.22% for the three months ended March 31, 2018. This cost increase was driven by the growth of deposits in competitive markets and a rising short-term interest rate environment.</w:t>
      </w:r>
    </w:p>
    <w:p>
      <w:pPr>
        <w:spacing w:after="0" w:line="20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increase in interest expense on FHLB advances was primarily a result of an increase in the average cost of advances of 0.72% to 2.38% for the three months ended March 31, 2019 from 1.66% for the three months ended March 31, 2018. The increased cost was driven primarily by increased market rates.</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net interest margin, calculated on a tax-equivalent basis, for the three months ended March 31, 2019 was 2.54% as compared to 3.56% for the three months ended March 31, 2018. The interest rate spread decreased to 2.16% for the three months ended March 31, 2019 from 3.33% for the three months ended March 31, 2018. The decrease in net interest margin is primarily attributed to the decline in the average balance of and yield on formerly covered residential ACI loans discussed above.</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7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provision for loan losses is the amount of expense that, based on our judgment, is required to maintain the ALLL at an adequate level to absorb probable losses inherent in the loan portfolio at the balance sheet date and that, in management’s judgment, is appropriate under GAAP. The amount of the provision is impacted by loan growth, portfolio mix, historical loss rates, the level of charge-offs and specific reserves for impaired loans, and management's evaluation of qualitative factors in the determination of general reserves. The determination of the amount of the ALLL is complex and involves a high degree of judgment and subjectivity. Our determination of the amount of the allowance and corresponding provision for loan losses considers ongoing evaluations of the credit quality of and level of credit risk inherent in various segments of the loan portfolio and of individually significant credits, levels of non-performing loans and charge-offs, historical and statistical trends and economic and other relevant factors. See “Analysis of the Allowance for Loan and Lease Losses” below for more information about how we determine the appropriate level of the allowance.</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March 31, 2019 and 2018, the Company recorded provisions for loan losses of $10.3 million and $3.1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the quarter ended March 31, 2018 included $2.8 million related to taxi medallion loans.</w:t>
      </w:r>
    </w:p>
    <w:p>
      <w:pPr>
        <w:spacing w:after="0" w:line="26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provision for loan losses for the quarter ended March 31, 2019 was impacted by (i) an increase in the provision related to specific reserves for loans determined individually to be impaired; (ii) the relative impact on the provision of changes in certain quantitative and qualitative loss factors; and (iii) loan growth.</w:t>
      </w:r>
    </w:p>
    <w:p>
      <w:pPr>
        <w:spacing w:after="0" w:line="200" w:lineRule="exact"/>
        <w:rPr>
          <w:sz w:val="20"/>
          <w:szCs w:val="20"/>
          <w:color w:val="auto"/>
        </w:rPr>
      </w:pPr>
    </w:p>
    <w:p>
      <w:pPr>
        <w:spacing w:after="0" w:line="27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35" w:right="2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comparison of the categories of non-interest income for the periods indicated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resolution of covered assets,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 on FDIC indemnification</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 service charges and fees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Gain on sale of loans, net</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3,501</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investment securities,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Lease financing</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17,186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14,102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6,830</w:t>
            </w:r>
          </w:p>
        </w:tc>
      </w:tr>
      <w:tr>
        <w:trPr>
          <w:trHeight w:val="237"/>
        </w:trPr>
        <w:tc>
          <w:tcPr>
            <w:tcW w:w="85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36,255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27,986</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Declines in income from resolution of covered assets, net and net loss on FDIC indemnification resulted from the termination of the Single Family Shared-Loss Agreement on February 13, 2019.</w:t>
      </w:r>
    </w:p>
    <w:p>
      <w:pPr>
        <w:spacing w:after="0" w:line="224"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most significant components of gain on sale of loans, net are gains on sales of the guaranteed portions of SBA loans by SBF and gains on sale of government-insured residential loans. Gain on sale of loans, net for the three months ended March 31, 2018 also included $1.7 million related to the sale of covered loans.</w:t>
      </w:r>
    </w:p>
    <w:p>
      <w:pPr>
        <w:spacing w:after="0" w:line="23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Gain on investment securities, net for the three months ended March 31, 2019 reflected net realized gains of $4.3 million from the sale of investment securities available for sale and net unrealized gains on marketable equity securities of $1.5 million. Sales of securities during the quarter related primarily to ongoing management of the Company's liquidity position.</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Period over period increases in income from lease financing generally corresponded to the growth in the portfolio of equipment under operating lease.</w:t>
      </w:r>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non-interest expense for the periods indicated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67,036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Occupancy and equipment</w:t>
            </w: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13,166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14,303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FDIC indemnification asset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40,347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Deposit insurance expense</w:t>
            </w: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4,812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8,214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equipment under operating lease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non-interest expense</w:t>
            </w: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13,399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14,914</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126,690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161,817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Amortization of FDIC indemnification asset</w:t>
      </w:r>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FDIC indemnification asset was amortized to zero during the fourth quarter of 2018 in light of the expected termination of the Single Family Shared-Loss Agreement.</w:t>
      </w:r>
    </w:p>
    <w:p>
      <w:pPr>
        <w:sectPr>
          <w:pgSz w:w="11900" w:h="16838" w:orient="portrait"/>
          <w:cols w:equalWidth="0" w:num="1">
            <w:col w:w="11400"/>
          </w:cols>
          <w:pgMar w:left="240" w:top="1017"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1017" w:right="259" w:bottom="1440" w:gutter="0" w:footer="0" w:header="0"/>
          <w:type w:val="continuous"/>
        </w:sectPr>
      </w:pPr>
    </w:p>
    <w:bookmarkStart w:id="47" w:name="page48"/>
    <w:bookmarkEnd w:id="47"/>
    <w:p>
      <w:pPr>
        <w:ind w:left="340"/>
        <w:spacing w:after="0"/>
        <w:rPr>
          <w:sz w:val="20"/>
          <w:szCs w:val="20"/>
          <w:color w:val="auto"/>
        </w:rPr>
      </w:pPr>
      <w:r>
        <w:rPr>
          <w:rFonts w:ascii="Arial" w:cs="Arial" w:eastAsia="Arial" w:hAnsi="Arial"/>
          <w:sz w:val="18"/>
          <w:szCs w:val="18"/>
          <w:i w:val="1"/>
          <w:iCs w:val="1"/>
          <w:color w:val="auto"/>
        </w:rPr>
        <w:t>Professional Fees</w:t>
      </w:r>
    </w:p>
    <w:p>
      <w:pPr>
        <w:spacing w:after="0" w:line="27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Professional fees for the three months ended March 31, 2019 was impacted by consulting services related to our BankUnited 2.0 initiative and the implementation of CECL.</w:t>
      </w: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non-interest expense</w:t>
      </w:r>
    </w:p>
    <w:p>
      <w:pPr>
        <w:spacing w:after="0" w:line="27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most significant components of other non-interest expense are advertising, promotion and business development, costs related to lending activities and deposit generation, expenses and losses related to OREO, foreclosure and repossessed assets, regulatory examination assessments, travel and general office expense.</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The Company’s effective income tax rate was 26.8% and 23.1% for the three months ended March 31, 2019 and 2018, respectively. An increase in state income taxes contributed to the increase in the effective income tax rate. The effective income tax rate differed from the statutory federal income tax rate of 21% for the three months ended March 31, 2019 and 2018 due primarily to income not subject to tax, offset by state income taxes.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about income taxes, see Note 7 to the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w:t>
      </w:r>
    </w:p>
    <w:p>
      <w:pPr>
        <w:spacing w:after="0" w:line="2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Average interest-earning assets increased $2.4 billion to $31.0 billion for the three months ended March 31, 2019 from $28.6 billion for the three months ended March 31, 2018. This increase was driven by a $692 million increase in the average balance of outstanding loans and a $1.7 billion increase in the average balance of investment securities. A $341 million decrease in average non-interest earning assets was primarily attributed to (i) the decrease in the FDIC indemnification asset, which was amortized to zero during the fourth quarter of 2018 and (ii) a decrease in income taxes receivable related to a discrete income tax benefit recognized during the fourth quarter of 2017, offset by (iii) the recognition of the ROU asset subsequent to the adoption of ASU 2016-02 effective January 1, 2019.</w:t>
      </w:r>
    </w:p>
    <w:p>
      <w:pPr>
        <w:spacing w:after="0" w:line="24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Average interest bearing liabilities increased $1.7 billion to $25.3 billion for the three months ended March 31, 2019 from $23.6 billion for the three months ended March 31, 2018, due primarily to an increase of $1.4 billion in average interest bearing deposits.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Average stockholders' equity decreased by $108 million, due primarily to the repurchase of common stock, offset by the retention of earnings.</w:t>
      </w:r>
    </w:p>
    <w:p>
      <w:pPr>
        <w:spacing w:after="0" w:line="200" w:lineRule="exact"/>
        <w:rPr>
          <w:sz w:val="20"/>
          <w:szCs w:val="20"/>
          <w:color w:val="auto"/>
        </w:rPr>
      </w:pPr>
    </w:p>
    <w:p>
      <w:pPr>
        <w:spacing w:after="0" w:line="334"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1017" w:right="31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7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following table shows the amortized cost and carrying value, which, with the exception of investment securities held to maturity, is fair value, of investment securities as of the dates indicated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3"/>
                <w:szCs w:val="13"/>
                <w:color w:val="auto"/>
              </w:rPr>
            </w:pPr>
          </w:p>
        </w:tc>
        <w:tc>
          <w:tcPr>
            <w:tcW w:w="12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w w:val="93"/>
              </w:rPr>
              <w:t>U.S. Government agency and sponsored enterprise residential MBS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2,087,465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2,095,993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1,885,302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1,897,474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U.S. Government agency and sponsored enterprise commercial MBS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437,854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439,331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374,569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374,787</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Private label residential MBS and CMOs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1,625,348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1,633,398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1,539,058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1,534,198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label commercial MBS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1,477,465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1,486,835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1,485,716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Single family rental real estate-backed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413,318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414,884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406,310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402,458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Collateralized loan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1,230,643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1,220,225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1,239,355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1,235,198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Non-mortgage asset-backed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145,296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145,857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204,372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204,067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384,297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398,429</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SBA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443,864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447,469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514,765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519,313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61,980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61,980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60,519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60,519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 held to maturity</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8,343,826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8,374,624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8,161,173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8,166,878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investment strategy has focused on insuring adequate liquidity, maintaining a suitable balance of high credit quality, diverse assets, managing interest rate risk, and generating acceptable returns given our established risk parameters. We have sought to maintain liquidity by investing a significant portion of the portfolio in high quality liquid securities including U.S. Treasury securities, GNMA securities, SBA securities and U.S. Government Agency MBS. Investment grade municipal securities provide liquidity and attractive tax-equivalent yields. We have also invested in highly rated structured products, including commercial MBS, residential MBS, collateralized loan obligations, single family rental real estate-backed securities and non-mortgage asset-backed securities that, while somewhat less liquid, provide us with attractive yields. Relatively short effective portfolio duration helps mitigate interest rate risk. Based on the Company’s assumptions, the estimated weighted average life of the investment portfolio as of March 31, 2019 was 4.6 years. The effective duration of the investment portfolio as of March 31, 2019 was 1.3 years. The model results are based on assumptions that may differ from actual results.</w:t>
      </w:r>
    </w:p>
    <w:p>
      <w:pPr>
        <w:spacing w:after="0" w:line="200" w:lineRule="exact"/>
        <w:rPr>
          <w:sz w:val="20"/>
          <w:szCs w:val="20"/>
          <w:color w:val="auto"/>
        </w:rPr>
      </w:pPr>
    </w:p>
    <w:p>
      <w:pPr>
        <w:spacing w:after="0" w:line="2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17" w:right="239" w:bottom="1440" w:gutter="0" w:footer="0" w:header="0"/>
        </w:sectPr>
      </w:pPr>
    </w:p>
    <w:bookmarkStart w:id="49" w:name="page50"/>
    <w:bookmarkEnd w:id="49"/>
    <w:p>
      <w:pPr>
        <w:jc w:val="both"/>
        <w:ind w:right="40" w:firstLine="324"/>
        <w:spacing w:after="0" w:line="312" w:lineRule="auto"/>
        <w:rPr>
          <w:sz w:val="20"/>
          <w:szCs w:val="20"/>
          <w:color w:val="auto"/>
        </w:rPr>
      </w:pPr>
      <w:r>
        <w:rPr>
          <w:rFonts w:ascii="Arial" w:cs="Arial" w:eastAsia="Arial" w:hAnsi="Arial"/>
          <w:sz w:val="16"/>
          <w:szCs w:val="16"/>
          <w:color w:val="auto"/>
        </w:rPr>
        <w:t>The following table shows the scheduled maturities, carrying values and current yields for investment securities available for sale as of March 31, 2019, as well as the carrying value and yield of marketable equity securities. Scheduled maturities have been adjusted for anticipated prepayments when applicable. Yields on tax-exempt securities have been calculated on a tax-equivalent basis, based on a federal income tax rate of 21% (dollars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4"/>
          </w:tcPr>
          <w:p>
            <w:pPr>
              <w:ind w:left="320"/>
              <w:spacing w:after="0"/>
              <w:rPr>
                <w:sz w:val="20"/>
                <w:szCs w:val="20"/>
                <w:color w:val="auto"/>
              </w:rPr>
            </w:pPr>
            <w:r>
              <w:rPr>
                <w:rFonts w:ascii="Arial" w:cs="Arial" w:eastAsia="Arial" w:hAnsi="Arial"/>
                <w:sz w:val="13"/>
                <w:szCs w:val="13"/>
                <w:b w:val="1"/>
                <w:bCs w:val="1"/>
                <w:color w:val="auto"/>
              </w:rPr>
              <w:t>After One Year</w:t>
            </w:r>
          </w:p>
        </w:tc>
        <w:tc>
          <w:tcPr>
            <w:tcW w:w="120" w:type="dxa"/>
            <w:vAlign w:val="bottom"/>
          </w:tcPr>
          <w:p>
            <w:pPr>
              <w:spacing w:after="0"/>
              <w:rPr>
                <w:sz w:val="13"/>
                <w:szCs w:val="13"/>
                <w:color w:val="auto"/>
              </w:rPr>
            </w:pPr>
          </w:p>
        </w:tc>
        <w:tc>
          <w:tcPr>
            <w:tcW w:w="1680" w:type="dxa"/>
            <w:vAlign w:val="bottom"/>
            <w:gridSpan w:val="4"/>
          </w:tcPr>
          <w:p>
            <w:pPr>
              <w:ind w:left="300"/>
              <w:spacing w:after="0"/>
              <w:rPr>
                <w:sz w:val="20"/>
                <w:szCs w:val="20"/>
                <w:color w:val="auto"/>
              </w:rPr>
            </w:pPr>
            <w:r>
              <w:rPr>
                <w:rFonts w:ascii="Arial" w:cs="Arial" w:eastAsia="Arial" w:hAnsi="Arial"/>
                <w:sz w:val="13"/>
                <w:szCs w:val="13"/>
                <w:b w:val="1"/>
                <w:bCs w:val="1"/>
                <w:color w:val="auto"/>
              </w:rPr>
              <w:t>After Five Years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3"/>
                <w:szCs w:val="13"/>
                <w:b w:val="1"/>
                <w:bCs w:val="1"/>
                <w:color w:val="auto"/>
              </w:rPr>
              <w:t>Within One Year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3"/>
                <w:szCs w:val="13"/>
                <w:b w:val="1"/>
                <w:bCs w:val="1"/>
                <w:color w:val="auto"/>
              </w:rPr>
              <w:t>Through Five Years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3"/>
                <w:szCs w:val="13"/>
                <w:b w:val="1"/>
                <w:bCs w:val="1"/>
                <w:color w:val="auto"/>
              </w:rPr>
              <w:t>Through Ten Years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3"/>
                <w:szCs w:val="13"/>
                <w:b w:val="1"/>
                <w:bCs w:val="1"/>
                <w:color w:val="auto"/>
              </w:rPr>
              <w:t>After Ten Years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Weighted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Weighted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Weighted</w:t>
            </w: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Carrying</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Carrying</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Carrying</w:t>
            </w: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10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Carrying</w:t>
            </w:r>
          </w:p>
        </w:tc>
        <w:tc>
          <w:tcPr>
            <w:tcW w:w="102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Average</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Carrying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74"/>
        </w:trPr>
        <w:tc>
          <w:tcPr>
            <w:tcW w:w="23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Value</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0" w:type="dxa"/>
            <w:vAlign w:val="bottom"/>
          </w:tcPr>
          <w:p>
            <w:pPr>
              <w:spacing w:after="0"/>
              <w:rPr>
                <w:sz w:val="1"/>
                <w:szCs w:val="1"/>
                <w:color w:val="auto"/>
              </w:rPr>
            </w:pPr>
          </w:p>
        </w:tc>
      </w:tr>
      <w:tr>
        <w:trPr>
          <w:trHeight w:val="257"/>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34,890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34,890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48"/>
        </w:trPr>
        <w:tc>
          <w:tcPr>
            <w:tcW w:w="2380" w:type="dxa"/>
            <w:vAlign w:val="bottom"/>
          </w:tcPr>
          <w:p>
            <w:pPr>
              <w:ind w:left="40"/>
              <w:spacing w:after="0" w:line="148" w:lineRule="exact"/>
              <w:rPr>
                <w:sz w:val="20"/>
                <w:szCs w:val="20"/>
                <w:color w:val="auto"/>
              </w:rPr>
            </w:pPr>
            <w:r>
              <w:rPr>
                <w:rFonts w:ascii="Arial" w:cs="Arial" w:eastAsia="Arial" w:hAnsi="Arial"/>
                <w:sz w:val="13"/>
                <w:szCs w:val="13"/>
                <w:color w:val="auto"/>
                <w:w w:val="98"/>
              </w:rPr>
              <w:t>U.S. Government agency and sponsored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80" w:type="dxa"/>
            <w:vAlign w:val="bottom"/>
          </w:tcPr>
          <w:p>
            <w:pPr>
              <w:ind w:left="120"/>
              <w:spacing w:after="0"/>
              <w:rPr>
                <w:sz w:val="20"/>
                <w:szCs w:val="20"/>
                <w:color w:val="auto"/>
              </w:rPr>
            </w:pPr>
            <w:r>
              <w:rPr>
                <w:rFonts w:ascii="Arial" w:cs="Arial" w:eastAsia="Arial" w:hAnsi="Arial"/>
                <w:sz w:val="13"/>
                <w:szCs w:val="13"/>
                <w:color w:val="auto"/>
              </w:rPr>
              <w:t>enterprise residential MBS</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192,616</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948,610</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823,936</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130,831</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2,095,993</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U.S. Government agency and sponsored</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enterprise commercial MBS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1,864</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16,810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319,631</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101,026</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439,331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262"/>
        </w:trPr>
        <w:tc>
          <w:tcPr>
            <w:tcW w:w="2380" w:type="dxa"/>
            <w:vAlign w:val="bottom"/>
          </w:tcPr>
          <w:p>
            <w:pPr>
              <w:ind w:left="40"/>
              <w:spacing w:after="0"/>
              <w:rPr>
                <w:sz w:val="20"/>
                <w:szCs w:val="20"/>
                <w:color w:val="auto"/>
              </w:rPr>
            </w:pPr>
            <w:r>
              <w:rPr>
                <w:rFonts w:ascii="Arial" w:cs="Arial" w:eastAsia="Arial" w:hAnsi="Arial"/>
                <w:sz w:val="13"/>
                <w:szCs w:val="13"/>
                <w:color w:val="auto"/>
              </w:rPr>
              <w:t>Private label residential MBS and CMOs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343,077</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932,320</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287,994</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70,007</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1,633,398</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Private label commercial MBS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129,809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9"/>
              </w:rPr>
              <w:t>1,084,535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258,788</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8,350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1,481,482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0" w:type="dxa"/>
            <w:vAlign w:val="bottom"/>
          </w:tcPr>
          <w:p>
            <w:pPr>
              <w:spacing w:after="0"/>
              <w:rPr>
                <w:sz w:val="1"/>
                <w:szCs w:val="1"/>
                <w:color w:val="auto"/>
              </w:rPr>
            </w:pPr>
          </w:p>
        </w:tc>
      </w:tr>
      <w:tr>
        <w:trPr>
          <w:trHeight w:val="148"/>
        </w:trPr>
        <w:tc>
          <w:tcPr>
            <w:tcW w:w="2380" w:type="dxa"/>
            <w:vAlign w:val="bottom"/>
          </w:tcPr>
          <w:p>
            <w:pPr>
              <w:ind w:left="40"/>
              <w:spacing w:after="0" w:line="148" w:lineRule="exact"/>
              <w:rPr>
                <w:sz w:val="20"/>
                <w:szCs w:val="20"/>
                <w:color w:val="auto"/>
              </w:rPr>
            </w:pPr>
            <w:r>
              <w:rPr>
                <w:rFonts w:ascii="Arial" w:cs="Arial" w:eastAsia="Arial" w:hAnsi="Arial"/>
                <w:sz w:val="13"/>
                <w:szCs w:val="13"/>
                <w:color w:val="auto"/>
              </w:rPr>
              <w:t>Single family rental real estate-backed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80" w:type="dxa"/>
            <w:vAlign w:val="bottom"/>
          </w:tcPr>
          <w:p>
            <w:pPr>
              <w:ind w:left="120"/>
              <w:spacing w:after="0"/>
              <w:rPr>
                <w:sz w:val="20"/>
                <w:szCs w:val="20"/>
                <w:color w:val="auto"/>
              </w:rPr>
            </w:pPr>
            <w:r>
              <w:rPr>
                <w:rFonts w:ascii="Arial" w:cs="Arial" w:eastAsia="Arial" w:hAnsi="Arial"/>
                <w:sz w:val="13"/>
                <w:szCs w:val="13"/>
                <w:color w:val="auto"/>
              </w:rPr>
              <w:t>securities</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14,909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170,378</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229,597</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414,884</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Collateralized loan obligations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38,185</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771,577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410,463</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1,220,225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0" w:type="dxa"/>
            <w:vAlign w:val="bottom"/>
          </w:tcPr>
          <w:p>
            <w:pPr>
              <w:spacing w:after="0"/>
              <w:rPr>
                <w:sz w:val="1"/>
                <w:szCs w:val="1"/>
                <w:color w:val="auto"/>
              </w:rPr>
            </w:pPr>
          </w:p>
        </w:tc>
      </w:tr>
      <w:tr>
        <w:trPr>
          <w:trHeight w:val="262"/>
        </w:trPr>
        <w:tc>
          <w:tcPr>
            <w:tcW w:w="2380" w:type="dxa"/>
            <w:vAlign w:val="bottom"/>
          </w:tcPr>
          <w:p>
            <w:pPr>
              <w:ind w:left="40"/>
              <w:spacing w:after="0"/>
              <w:rPr>
                <w:sz w:val="20"/>
                <w:szCs w:val="20"/>
                <w:color w:val="auto"/>
              </w:rPr>
            </w:pPr>
            <w:r>
              <w:rPr>
                <w:rFonts w:ascii="Arial" w:cs="Arial" w:eastAsia="Arial" w:hAnsi="Arial"/>
                <w:sz w:val="13"/>
                <w:szCs w:val="13"/>
                <w:color w:val="auto"/>
              </w:rPr>
              <w:t>Non-mortgage asset-backed securities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11,718</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96,250</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37,774</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145,857</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State and municipal obligations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1,573</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26,242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282,272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74,210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384,297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262"/>
        </w:trPr>
        <w:tc>
          <w:tcPr>
            <w:tcW w:w="2380" w:type="dxa"/>
            <w:vAlign w:val="bottom"/>
          </w:tcPr>
          <w:p>
            <w:pPr>
              <w:ind w:left="40"/>
              <w:spacing w:after="0"/>
              <w:rPr>
                <w:sz w:val="20"/>
                <w:szCs w:val="20"/>
                <w:color w:val="auto"/>
              </w:rPr>
            </w:pPr>
            <w:r>
              <w:rPr>
                <w:rFonts w:ascii="Arial" w:cs="Arial" w:eastAsia="Arial" w:hAnsi="Arial"/>
                <w:sz w:val="13"/>
                <w:szCs w:val="13"/>
                <w:color w:val="auto"/>
              </w:rPr>
              <w:t>SBA securities</w:t>
            </w:r>
          </w:p>
        </w:tc>
        <w:tc>
          <w:tcPr>
            <w:tcW w:w="12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89,685</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206,052</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101,485</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50,247</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447,469</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272"/>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debt securities</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4,818</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4,818</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15.33%</w:t>
            </w:r>
          </w:p>
        </w:tc>
        <w:tc>
          <w:tcPr>
            <w:tcW w:w="0" w:type="dxa"/>
            <w:vAlign w:val="bottom"/>
          </w:tcPr>
          <w:p>
            <w:pPr>
              <w:spacing w:after="0"/>
              <w:rPr>
                <w:sz w:val="1"/>
                <w:szCs w:val="1"/>
                <w:color w:val="auto"/>
              </w:rPr>
            </w:pPr>
          </w:p>
        </w:tc>
      </w:tr>
      <w:tr>
        <w:trPr>
          <w:trHeight w:val="282"/>
        </w:trPr>
        <w:tc>
          <w:tcPr>
            <w:tcW w:w="23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858,326</w:t>
            </w: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9"/>
              </w:rPr>
              <w:t>4,252,774</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2,751,940</w:t>
            </w: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439,604</w:t>
            </w: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93"/>
              </w:rPr>
              <w:t>8,302,644</w:t>
            </w:r>
          </w:p>
        </w:tc>
        <w:tc>
          <w:tcPr>
            <w:tcW w:w="1000" w:type="dxa"/>
            <w:vAlign w:val="bottom"/>
            <w:tcBorders>
              <w:bottom w:val="single" w:sz="8" w:color="CCEEFF"/>
            </w:tcBorders>
            <w:gridSpan w:val="3"/>
          </w:tcPr>
          <w:p>
            <w:pPr>
              <w:jc w:val="right"/>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103"/>
        </w:trPr>
        <w:tc>
          <w:tcPr>
            <w:tcW w:w="2380" w:type="dxa"/>
            <w:vAlign w:val="bottom"/>
            <w:shd w:val="clear" w:color="auto" w:fill="CCEEFF"/>
          </w:tcPr>
          <w:p>
            <w:pPr>
              <w:ind w:left="180"/>
              <w:spacing w:after="0" w:line="103" w:lineRule="exact"/>
              <w:rPr>
                <w:sz w:val="20"/>
                <w:szCs w:val="20"/>
                <w:color w:val="auto"/>
              </w:rPr>
            </w:pPr>
            <w:r>
              <w:rPr>
                <w:rFonts w:ascii="Arial" w:cs="Arial" w:eastAsia="Arial" w:hAnsi="Arial"/>
                <w:sz w:val="11"/>
                <w:szCs w:val="11"/>
                <w:color w:val="auto"/>
              </w:rPr>
              <w:t>Marketable equity securities with no</w:t>
            </w: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scheduled maturity</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61,980</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7.39%</w:t>
            </w:r>
          </w:p>
        </w:tc>
        <w:tc>
          <w:tcPr>
            <w:tcW w:w="0" w:type="dxa"/>
            <w:vAlign w:val="bottom"/>
          </w:tcPr>
          <w:p>
            <w:pPr>
              <w:spacing w:after="0"/>
              <w:rPr>
                <w:sz w:val="1"/>
                <w:szCs w:val="1"/>
                <w:color w:val="auto"/>
              </w:rPr>
            </w:pPr>
          </w:p>
        </w:tc>
      </w:tr>
      <w:tr>
        <w:trPr>
          <w:trHeight w:val="128"/>
        </w:trPr>
        <w:tc>
          <w:tcPr>
            <w:tcW w:w="2380" w:type="dxa"/>
            <w:vAlign w:val="bottom"/>
          </w:tcPr>
          <w:p>
            <w:pPr>
              <w:ind w:left="280"/>
              <w:spacing w:after="0" w:line="128" w:lineRule="exact"/>
              <w:rPr>
                <w:sz w:val="20"/>
                <w:szCs w:val="20"/>
                <w:color w:val="auto"/>
              </w:rPr>
            </w:pPr>
            <w:r>
              <w:rPr>
                <w:rFonts w:ascii="Arial" w:cs="Arial" w:eastAsia="Arial" w:hAnsi="Arial"/>
                <w:sz w:val="13"/>
                <w:szCs w:val="13"/>
                <w:color w:val="auto"/>
                <w:w w:val="91"/>
              </w:rPr>
              <w:t>Total investment securities available for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3"/>
              </w:rPr>
              <w:t>8,364,624</w:t>
            </w:r>
          </w:p>
        </w:tc>
        <w:tc>
          <w:tcPr>
            <w:tcW w:w="1000" w:type="dxa"/>
            <w:vAlign w:val="bottom"/>
            <w:gridSpan w:val="3"/>
            <w:vMerge w:val="restart"/>
          </w:tcPr>
          <w:p>
            <w:pPr>
              <w:jc w:val="right"/>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162"/>
        </w:trPr>
        <w:tc>
          <w:tcPr>
            <w:tcW w:w="2380" w:type="dxa"/>
            <w:vAlign w:val="bottom"/>
          </w:tcPr>
          <w:p>
            <w:pPr>
              <w:ind w:left="360"/>
              <w:spacing w:after="0"/>
              <w:rPr>
                <w:sz w:val="20"/>
                <w:szCs w:val="20"/>
                <w:color w:val="auto"/>
              </w:rPr>
            </w:pPr>
            <w:r>
              <w:rPr>
                <w:rFonts w:ascii="Arial" w:cs="Arial" w:eastAsia="Arial" w:hAnsi="Arial"/>
                <w:sz w:val="13"/>
                <w:szCs w:val="13"/>
                <w:color w:val="auto"/>
                <w:w w:val="93"/>
              </w:rPr>
              <w:t>sale and marketable equity securities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investment securities available for sale portfolio was in a net unrealized gain position of $30.8 million at March 31, 2019 with aggregate fair value equal to 100.4% of amortized cost. Net unrealized gains included $61.9 million of gross unrealized gains and $31.1 million of gross unrealized losses. Investment securities available for sale in an unrealized loss position at March 31, 2019 had an aggregate fair value of $3.9 billion. At March 31, 2019, 99.1% of investment securities available for sale were backed by the U.S. Government, U.S. Government agencies or sponsored enterprises or were rated AAA, AA or A, based on the most recent third-party ratings. Investment securities available for sale totaling $63 million were not rated at March 31, 2019. These securities have been determined by management to be of investment grade quality. Additionally, $14 million of securities acquired at substantial discounts in the FSB acquisition were rated below investment grade at March 31, 2019. The majority of these securities were held in significant unrealized gain positions.</w:t>
      </w:r>
    </w:p>
    <w:p>
      <w:pPr>
        <w:spacing w:after="0" w:line="22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evaluate the credit quality of individual securities in the portfolio quarterly to determine whether any of the investments in unrealized loss positions are other-than-temporarily impaired. This evaluation considers, but is not necessarily limited to, the following factors, the relative significance of which varies depending on the circumstances pertinent to each individual security:</w:t>
      </w:r>
    </w:p>
    <w:p>
      <w:pPr>
        <w:spacing w:after="0" w:line="23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intent to hold the security until maturity or for a period of time sufficient for a recovery in value;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it is more likely than not that we will be required to sell the security prior to recovery of its amortized cost basis;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time and extent to which fair value has been less than amortized cost;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changes in expected cash flows;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collateral values and performance;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payment structure of the security, including levels of subordination or over-collateralization;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economic or regulatory environment;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general market condition of the geographic area or industry of the issuer;</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935" w:right="259" w:bottom="1440" w:gutter="0" w:footer="0" w:header="0"/>
          <w:type w:val="continuous"/>
        </w:sectPr>
      </w:pPr>
    </w:p>
    <w:bookmarkStart w:id="50" w:name="page51"/>
    <w:bookmarkEnd w:id="50"/>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issuer’s financial condition, performance and business prospects;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credit ratings.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securities were determined to be other-than-temporarily impaired at March 31, 2019 and 2018.</w:t>
      </w:r>
    </w:p>
    <w:p>
      <w:pPr>
        <w:spacing w:after="0" w:line="2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do not intend to sell securities in significant unrealized loss positions at March 31, 2019. Based on an assessment of our liquidity position and internal and regulatory guidelines for permissible investments and concentrations, it is not more likely than not that we will be required to sell securities in significant unrealized loss positions prior to recovery of amortized cost basis. Unrealized losses in the portfolio at March 31, 2019 were primarily attributable to an increase in market interest rates subsequent to the date the securities were acquired and, for the CLO portfolio, widening credit spreads. At March 31, 2019, 83%, 14% and 3% of CLOs were rated AAA, AA and A, respectively, based on the most recent third-party ratings, with a weighted-average subordination level at 41.3%, ranging from 26.3% to 43.3%. Management performs a thorough analysis prior to purchasing CLOs, including extensive vetting of the asset manager and stress testing of collateral. Management engages an independent third party to perform ongoing credit surveillance of the CLO portfolio, performs periodic stress testing of the portfolio and continuously monitors exposure, default status, and other relevant security characteristics.</w:t>
      </w:r>
    </w:p>
    <w:p>
      <w:pPr>
        <w:spacing w:after="0" w:line="220"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timely repayment of principal and interest on U.S. Treasury and U.S. Government agency and sponsored enterprise securities in unrealized loss positions is explicitly or implicitly guaranteed by the full faith and credit of the U.S. Government. Management performed projected cash flow analyses of the private label residential MBS and CMOs, private label commercial MBS, collateralized loan obligations and non-mortgage asset-backed securities in unrealized loss positions, incorporating CUSIP level assumptions consistent with the collateral characteristics of each security including collateral default rate, voluntary prepayment rate, severity and delinquency assumptions. Based on the results of this analysis, no credit losses were projected. Management's analysis of the credit characteristics of individual securities and the underlying collateral and levels of subordination for each of the single family rental real estate-backed securities in unrealized loss positions is not indicative of projected credit losses. Management's analysis of the state and municipal obligations in unrealized loss positions included reviewing the ratings of the securities and the results of credit surveillance performed by an independent third party. Given the expectation of timely repayment of principal and interest, the impairments were considered to be temporary.</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of our analysis of investment securities for OTTI, see Note 3 to the consolidated financial statements.</w:t>
      </w:r>
    </w:p>
    <w:p>
      <w:pPr>
        <w:spacing w:after="0" w:line="27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 use third-party pricing services to assist us in estimating the fair value of investment securities. We perform a variety of procedures to ensure that we have a thorough understanding of the methodologies and assumptions used by the pricing services including obtaining and reviewing written documentation of the methods and assumptions employed, conducting interviews with valuation desk personnel and reviewing model results and detailed assumptions used to value selected securities as considered necessary. Our classification of prices within the fair value hierarchy is based on an evaluation of the nature of the significant assumptions impacting the valuation of each type of security in the portfolio. We have established a robust price challenge process that includes a review by our treasury front office of all prices provided on a monthly basis. Any price evidencing unexpected month over month fluctuations or deviations from our expectations based on recent observed trading activity and other information available in the marketplace that would impact the value of the security is challenged. Responses to the price challenges, which generally include specific information about inputs and assumptions incorporated in the valuation and their sources, are reviewed in detail. If considered necessary to resolve any discrepancies, a price will be obtained from additional independent valuation sources. We do not typically adjust the prices provided, other than through this established challenge process. Our primary pricing services utilize observable inputs when available, and employ unobservable inputs and proprietary models only when observable inputs are not available. As a matter of course, the services validate prices by comparison to recent trading activity whenever such activity exists. Quotes obtained from the pricing services are typically non-binding.</w:t>
      </w:r>
    </w:p>
    <w:p>
      <w:pPr>
        <w:spacing w:after="0" w:line="24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also established a quarterly price validation process to assess the propriety of the pricing methodologies utilized by our primary pricing services by independently verifying the prices of a sample of securities in the portfolio. Sample sizes vary based on the type of security being priced, with higher sample sizes applied to more difficult to value security types. Verification procedures may consist of obtaining prices from an additional outside source or internal modeling, generally based on Intex. We have established acceptable percentage deviations from the price provided by the initial pricing source. If deviations fall outside the established parameters, we will obtain and evaluate more detailed information about the assumptions and inputs used by each pricing source or, if considered necessary, employ an additional valuation source to price the security in question. Pricing issues identified through this evaluation are addressed with the applicable pricing service and methodologies or inputs are revised as determined necessary. Depending on the results of the validation process, sample sizes may be extended for particular classes of securities. Results of the validation process are reviewed by the treasury front office and by senior management.</w:t>
      </w:r>
    </w:p>
    <w:p>
      <w:pPr>
        <w:spacing w:after="0" w:line="23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majority of our investment securities are classified within level 2 of the fair value hierarchy. U.S. Treasury securities and equity securities are classified within level 1 of the hierarchy. At March 31, 2019 and 2018, 0.4% and 0.7%, respectively, of our investment securities were classified within level 3 of the fair value hierarchy. Securities classified within level 3 of the</w:t>
      </w:r>
    </w:p>
    <w:p>
      <w:pPr>
        <w:sectPr>
          <w:pgSz w:w="11900" w:h="16838" w:orient="portrait"/>
          <w:cols w:equalWidth="0" w:num="1">
            <w:col w:w="11420"/>
          </w:cols>
          <w:pgMar w:left="240" w:top="936"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936" w:right="239" w:bottom="1440" w:gutter="0" w:footer="0" w:header="0"/>
          <w:type w:val="continuous"/>
        </w:sectPr>
      </w:pPr>
    </w:p>
    <w:bookmarkStart w:id="51" w:name="page52"/>
    <w:bookmarkEnd w:id="51"/>
    <w:p>
      <w:pPr>
        <w:ind w:right="60"/>
        <w:spacing w:after="0" w:line="259" w:lineRule="auto"/>
        <w:rPr>
          <w:sz w:val="20"/>
          <w:szCs w:val="20"/>
          <w:color w:val="auto"/>
        </w:rPr>
      </w:pPr>
      <w:r>
        <w:rPr>
          <w:rFonts w:ascii="Arial" w:cs="Arial" w:eastAsia="Arial" w:hAnsi="Arial"/>
          <w:sz w:val="18"/>
          <w:szCs w:val="18"/>
          <w:color w:val="auto"/>
        </w:rPr>
        <w:t>hierarchy at March 31, 2019 included certain private label residential MBS and trust preferred securities. These securities were classified within level 3 of the hierarchy because proprietary assumptions related to voluntary prepayment rates, default probabilities, loss severities and discount rates were considered significant to the valuation. There were no transfers of investment securities between levels of the fair value hierarchy during the three months ended March 31, 2019 and 2018.</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discussion of the fair values of investment securities, see Note 11 to the consolidated financial statements.</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Loans held for sale at March 31, 2019 and 2018 included $29 million and $37 million, respectively, of commercial loans originated by SBF with the intent to sell in the secondary market. Commercial loans held for sale are comprised of the portion of loans guaranteed by U.S. government agencies, primarily the SBA. Loans are generally sold with servicing retained. Commercial servicing activity did not have a material impact on the results of operations for the three months ended March 31, 2019 and 2018.</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w:t>
      </w:r>
    </w:p>
    <w:p>
      <w:pPr>
        <w:spacing w:after="0" w:line="27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loan portfolio comprises the Company’s primary interest-earning asset. The following tables show the composition of the loan portfolio at the dates indicated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Percent of Total</w:t>
            </w:r>
          </w:p>
        </w:tc>
        <w:tc>
          <w:tcPr>
            <w:tcW w:w="280" w:type="dxa"/>
            <w:vAlign w:val="bottom"/>
          </w:tcPr>
          <w:p>
            <w:pPr>
              <w:spacing w:after="0"/>
              <w:rPr>
                <w:sz w:val="22"/>
                <w:szCs w:val="22"/>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4"/>
                <w:szCs w:val="14"/>
                <w:b w:val="1"/>
                <w:bCs w:val="1"/>
                <w:color w:val="auto"/>
              </w:rPr>
              <w:t>Percent of Total</w:t>
            </w:r>
          </w:p>
        </w:tc>
      </w:tr>
      <w:tr>
        <w:trPr>
          <w:trHeight w:val="236"/>
        </w:trPr>
        <w:tc>
          <w:tcPr>
            <w:tcW w:w="5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other consumer:</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1-4 single family residential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4,657,344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4,606,828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Government insured 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312,312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265,701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14,341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17,369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4,983,997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4,889,898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2,534,527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2,583,331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4,817,629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4,700,188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and land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213,634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227,134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2,093,373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2,122,381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5,039,938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4,801,226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Commercial lending subsidiaries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2,629,874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2,608,834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17,328,975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17,043,094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97"/>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loans</w:t>
            </w: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22,312,972</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21,932,992</w:t>
            </w:r>
          </w:p>
        </w:tc>
        <w:tc>
          <w:tcPr>
            <w:tcW w:w="10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Premiums, discounts and deferred fees and costs,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45,845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44,016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color w:val="auto"/>
              </w:rPr>
              <w:t>Loans including premiums, discounts and deferred fees and costs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22,358,817</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21,977,008</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and lease losses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(114,703)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(109,931)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594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22,244,114</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21,867,077</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Total loans, including premiums, discounts and deferred fees and costs, increased by $382 million to $22.4 billion at March 31, 2019, from $22.0 billion at December 31, 2018.</w:t>
      </w:r>
    </w:p>
    <w:p>
      <w:pPr>
        <w:spacing w:after="0" w:line="224"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Residential and other consumer loans grew by $97 million for the three months ended March 31, 2019. Multi-family loans declined by $49 million for the three months ended March 31, 2019, primarily due to continued run-off of the New York portfolio. Commercial and industrial loans, inclusive of owner occupied commercial real estate, grew by $209 million for the three months ended March 31, 2019, driven largely by growth in the Florida portfolio.</w:t>
      </w:r>
    </w:p>
    <w:p>
      <w:pPr>
        <w:spacing w:after="0" w:line="201"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Included in multi-family and non-owner occupied commercial real estate loans above at March 31, 2019 were $97 million and $14 million, respectively, in re-positioning loans. These loans, substantially all of which are in New York, provided financing for some level of improvements by the borrower to the underlying collateral to enhance the cash flow generating capacity of the collateral. The primary purpose of these loans was not for construction.</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935" w:right="239" w:bottom="1440" w:gutter="0" w:footer="0" w:header="0"/>
          <w:type w:val="continuous"/>
        </w:sectPr>
      </w:pPr>
    </w:p>
    <w:bookmarkStart w:id="52" w:name="page53"/>
    <w:bookmarkEnd w:id="52"/>
    <w:p>
      <w:pPr>
        <w:ind w:left="340"/>
        <w:spacing w:after="0"/>
        <w:rPr>
          <w:sz w:val="20"/>
          <w:szCs w:val="20"/>
          <w:color w:val="auto"/>
        </w:rPr>
      </w:pPr>
      <w:r>
        <w:rPr>
          <w:rFonts w:ascii="Arial" w:cs="Arial" w:eastAsia="Arial" w:hAnsi="Arial"/>
          <w:sz w:val="18"/>
          <w:szCs w:val="18"/>
          <w:b w:val="1"/>
          <w:bCs w:val="1"/>
          <w:i w:val="1"/>
          <w:iCs w:val="1"/>
          <w:color w:val="auto"/>
        </w:rPr>
        <w:t>Residential mortgages and other consumer loans</w:t>
      </w:r>
    </w:p>
    <w:p>
      <w:pPr>
        <w:spacing w:after="0" w:line="27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Residential mortgages and other consumer loans totaled $5.0 billion, or 22.4% of total loans, at March 31, 2019 and $4.9 billion, or 22.3% of total loans, at December 31, 2018.</w:t>
      </w:r>
    </w:p>
    <w:p>
      <w:pPr>
        <w:spacing w:after="0" w:line="22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table shows the composition of residential and other consumer loans at the dates indicated. Amounts include premiums, discounts and deferred fees and costs (in thousands):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Pr>
          <w:p>
            <w:pPr>
              <w:spacing w:after="0"/>
              <w:rPr>
                <w:sz w:val="16"/>
                <w:szCs w:val="16"/>
                <w:color w:val="auto"/>
              </w:rPr>
            </w:pPr>
          </w:p>
        </w:tc>
        <w:tc>
          <w:tcPr>
            <w:tcW w:w="178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 and other consumer loans: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160"/>
              <w:spacing w:after="0"/>
              <w:rPr>
                <w:sz w:val="20"/>
                <w:szCs w:val="20"/>
                <w:color w:val="auto"/>
              </w:rPr>
            </w:pPr>
            <w:r>
              <w:rPr>
                <w:rFonts w:ascii="Arial" w:cs="Arial" w:eastAsia="Arial" w:hAnsi="Arial"/>
                <w:sz w:val="18"/>
                <w:szCs w:val="18"/>
                <w:color w:val="auto"/>
              </w:rPr>
              <w:t>1-4 single family residential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4,718,053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4,664,920</w:t>
            </w: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Government insured residential</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313,311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266,729</w:t>
            </w:r>
          </w:p>
        </w:tc>
      </w:tr>
      <w:tr>
        <w:trPr>
          <w:trHeight w:val="243"/>
        </w:trPr>
        <w:tc>
          <w:tcPr>
            <w:tcW w:w="7180" w:type="dxa"/>
            <w:vAlign w:val="bottom"/>
          </w:tcPr>
          <w:p>
            <w:pPr>
              <w:ind w:left="160"/>
              <w:spacing w:after="0"/>
              <w:rPr>
                <w:sz w:val="20"/>
                <w:szCs w:val="20"/>
                <w:color w:val="auto"/>
              </w:rPr>
            </w:pPr>
            <w:r>
              <w:rPr>
                <w:rFonts w:ascii="Arial" w:cs="Arial" w:eastAsia="Arial" w:hAnsi="Arial"/>
                <w:sz w:val="18"/>
                <w:szCs w:val="18"/>
                <w:color w:val="auto"/>
              </w:rPr>
              <w:t>Home equity loans and lines of credits</w:t>
            </w:r>
          </w:p>
        </w:tc>
        <w:tc>
          <w:tcPr>
            <w:tcW w:w="340" w:type="dxa"/>
            <w:vAlign w:val="bottom"/>
          </w:tcPr>
          <w:p>
            <w:pPr>
              <w:spacing w:after="0"/>
              <w:rPr>
                <w:sz w:val="21"/>
                <w:szCs w:val="21"/>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1,393</w:t>
            </w:r>
          </w:p>
        </w:tc>
      </w:tr>
      <w:tr>
        <w:trPr>
          <w:trHeight w:val="27"/>
        </w:trPr>
        <w:tc>
          <w:tcPr>
            <w:tcW w:w="7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consumer loans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15,947</w:t>
            </w:r>
          </w:p>
        </w:tc>
      </w:tr>
      <w:tr>
        <w:trPr>
          <w:trHeight w:val="237"/>
        </w:trPr>
        <w:tc>
          <w:tcPr>
            <w:tcW w:w="71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5,045,687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4,948,989</w:t>
            </w:r>
          </w:p>
        </w:tc>
      </w:tr>
      <w:tr>
        <w:trPr>
          <w:trHeight w:val="27"/>
        </w:trPr>
        <w:tc>
          <w:tcPr>
            <w:tcW w:w="7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1-4 single family residential loan portfolio is primarily comprised of loans purchased on a national basis through established correspondent channels. The portfolio also includes loans originated through retail channels in our Florida and New York geographic footprint prior to the termination of our retail residential mortgage origination business in 2016. 1-4 single family residential mortgage loans are primarily closed-end, first lien jumbo mortgages for the purchase or re-finance of owner occupied property. The loans have terms ranging from 10 to 30 years, with either fixed or adjustable interest rates. At March 31, 2019, $131 million or 2.8% of residential mortgage loans were interest-only loans, substantially all of which begin amortizing 10 years after origination.</w:t>
      </w:r>
    </w:p>
    <w:p>
      <w:pPr>
        <w:spacing w:after="0" w:line="11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acquires non-performing FHA and VA insured mortgages from third party servicers who have exercised their right to purchase these loans out of GNMA securitizations (collectively, "government insured pool buyout loans" or "buyout loans"). Buyout loans that re-perform, either through modification or self-cure, may be eligible for re-securitization. The balance of government insured residential buyout loans totaled $288 million at March 31, 2019. The Company is not the servicer of these loans.</w:t>
      </w:r>
    </w:p>
    <w:p>
      <w:pPr>
        <w:spacing w:after="0" w:line="34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17" w:right="2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color w:val="auto"/>
        </w:rPr>
        <w:t>The following charts present the distribution of the 1-4 single family residential mortgage portfolio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186690</wp:posOffset>
            </wp:positionV>
            <wp:extent cx="5917565" cy="2204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1756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geographic concentration of the 1-4 single family residential portfolio, excluding government insured residential loans, is summarized as follows at the dates indicated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March 31, 2019</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6"/>
              </w:rPr>
              <w:t>December 31, 2018</w:t>
            </w:r>
          </w:p>
        </w:tc>
        <w:tc>
          <w:tcPr>
            <w:tcW w:w="660" w:type="dxa"/>
            <w:vAlign w:val="bottom"/>
            <w:tcBorders>
              <w:bottom w:val="single" w:sz="8" w:color="auto"/>
            </w:tcBorders>
          </w:tcPr>
          <w:p>
            <w:pPr>
              <w:spacing w:after="0"/>
              <w:rPr>
                <w:sz w:val="16"/>
                <w:szCs w:val="16"/>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1,182,201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1,177,221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986,659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977,146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Florida</w:t>
            </w:r>
          </w:p>
        </w:tc>
        <w:tc>
          <w:tcPr>
            <w:tcW w:w="2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642,965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645,020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188,849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184,756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59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1,717,379</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1,680,777</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69"/>
        </w:trPr>
        <w:tc>
          <w:tcPr>
            <w:tcW w:w="5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4,718,053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4,664,920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other state represented borrowers with more than 4.0% of 1-4 single family residential loans outstanding at March 31, 2019 or December 31, 2018.</w:t>
      </w:r>
    </w:p>
    <w:p>
      <w:pPr>
        <w:spacing w:after="0" w:line="200" w:lineRule="exact"/>
        <w:rPr>
          <w:rFonts w:ascii="Arial" w:cs="Arial" w:eastAsia="Arial" w:hAnsi="Arial"/>
          <w:sz w:val="16"/>
          <w:szCs w:val="16"/>
          <w:color w:val="auto"/>
        </w:rPr>
      </w:pPr>
    </w:p>
    <w:p>
      <w:pPr>
        <w:spacing w:after="0" w:line="23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Commercial loans and leases</w:t>
      </w:r>
    </w:p>
    <w:p>
      <w:pPr>
        <w:spacing w:after="0" w:line="27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commercial portfolio segment includes loans secured by multi-family properties, loans secured by both owner-occupied and non-owner occupied commercial real estate, a limited amount of construction and land loans, commercial and industrial loans and leases. Management’s loan origination strategy is heavily focused on the commercial portfolio segment, which comprised 77.6% and 77.7% of loans as of March 31, 2019 and December 31, 2018, respectively.</w:t>
      </w:r>
    </w:p>
    <w:p>
      <w:pPr>
        <w:spacing w:after="0" w:line="200" w:lineRule="exact"/>
        <w:rPr>
          <w:sz w:val="20"/>
          <w:szCs w:val="20"/>
          <w:color w:val="auto"/>
        </w:rPr>
      </w:pPr>
    </w:p>
    <w:p>
      <w:pPr>
        <w:spacing w:after="0" w:line="28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936" w:right="259" w:bottom="1440" w:gutter="0" w:footer="0" w:header="0"/>
        </w:sectPr>
      </w:pPr>
    </w:p>
    <w:bookmarkStart w:id="54" w:name="page55"/>
    <w:bookmarkEnd w:id="54"/>
    <w:p>
      <w:pPr>
        <w:ind w:right="140" w:firstLine="324"/>
        <w:spacing w:after="0" w:line="277" w:lineRule="auto"/>
        <w:rPr>
          <w:sz w:val="20"/>
          <w:szCs w:val="20"/>
          <w:color w:val="auto"/>
        </w:rPr>
      </w:pPr>
      <w:r>
        <w:rPr>
          <w:rFonts w:ascii="Arial" w:cs="Arial" w:eastAsia="Arial" w:hAnsi="Arial"/>
          <w:sz w:val="18"/>
          <w:szCs w:val="18"/>
          <w:color w:val="auto"/>
        </w:rPr>
        <w:t>The following table shows the composition of the commercial loan portfolio at the dates indicated. Amounts include premiums, discounts and deferred fees and costs (in thousands):</w:t>
      </w: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6"/>
                <w:szCs w:val="16"/>
                <w:color w:val="auto"/>
              </w:rPr>
            </w:pPr>
          </w:p>
        </w:tc>
        <w:tc>
          <w:tcPr>
            <w:tcW w:w="176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 2018</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32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Multi-family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2,536,588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2,585,421</w:t>
            </w: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Non-owner occupied commercial real estate</w:t>
            </w:r>
          </w:p>
        </w:tc>
        <w:tc>
          <w:tcPr>
            <w:tcW w:w="3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4,731,127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4,611,573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Construction and land</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210,516</w:t>
            </w: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3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1,979,161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2,007,603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4,484,992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4,312,213</w:t>
            </w: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National commercial lending platforms</w:t>
            </w:r>
          </w:p>
        </w:tc>
        <w:tc>
          <w:tcPr>
            <w:tcW w:w="3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Pinnacle</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1,450,316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1,462,655</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Bridge - franchise finance</w:t>
            </w:r>
          </w:p>
        </w:tc>
        <w:tc>
          <w:tcPr>
            <w:tcW w:w="3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546,489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517,305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Bridge - equipment finance</w:t>
            </w:r>
          </w:p>
        </w:tc>
        <w:tc>
          <w:tcPr>
            <w:tcW w:w="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640,910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636,838</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SBF</w:t>
            </w:r>
          </w:p>
        </w:tc>
        <w:tc>
          <w:tcPr>
            <w:tcW w:w="3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250,930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252,221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Mortgage warehouse lending</w:t>
            </w:r>
          </w:p>
        </w:tc>
        <w:tc>
          <w:tcPr>
            <w:tcW w:w="3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494,352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431,674</w:t>
            </w: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17,313,130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17,028,019</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Commercial real estate loans include term loans secured by owner and non-owner occupied income producing properties including rental apartments, mixed-use properties, industrial properties, retail shopping centers, free-standing single-tenant buildings, office buildings, warehouse facilities and hotels as well as real estate secured lines of credit.</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charts present the distribution of non-owner occupied commercial real estate by product type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5917565" cy="1938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17565"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Company’s commercial real estate underwriting standards generally provide for loan terms of five to seven years, with amortization schedules of no more than thirty years. LTV ratios are typically limited to no more than 80%. Owner-occupied commercial real estate loans typically have risk profiles more closely aligned with that of commercial and industrial loans than with other types of commercial real estate loans. Construction and land loans represented only 1.0% of the total loan portfolio at March 31, 2019. Construction and land loans are generally made for projects expected to stabilize within eighteen months of completion in sub-markets with strong fundamentals and, to a lesser extent, for-sale residential projects to experienced developers with a strong cushion between market prices and loan basis.</w:t>
      </w:r>
    </w:p>
    <w:p>
      <w:pPr>
        <w:spacing w:after="0" w:line="247"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Commercial and industrial loans are typically made to small, middle market and larger corporate businesses and include equipment loans, secured and unsecured working capital facilities, formula-based loans, trade finance, mortgage warehouse lines, SBA product offerings and business acquisition finance credit facilities. These loans may be structured as term loans, typically with maturities of five to seven years, or revolving lines of credit which may have multi-year maturities. The Bank also provides financing to state and local governmental entities within its geographic footprint. Commercial loans include shared national credits totaling $2.4 billion at March 31, 2019, the majority of which are relationship based loans to borrowers in Florida and New York.</w:t>
      </w:r>
    </w:p>
    <w:p>
      <w:pPr>
        <w:sectPr>
          <w:pgSz w:w="11900" w:h="16838" w:orient="portrait"/>
          <w:cols w:equalWidth="0" w:num="1">
            <w:col w:w="11340"/>
          </w:cols>
          <w:pgMar w:left="240" w:top="936" w:right="3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340"/>
          </w:cols>
          <w:pgMar w:left="240" w:top="936" w:right="319" w:bottom="1440" w:gutter="0" w:footer="0" w:header="0"/>
          <w:type w:val="continuous"/>
        </w:sectPr>
      </w:pPr>
    </w:p>
    <w:bookmarkStart w:id="55" w:name="page56"/>
    <w:bookmarkEnd w:id="55"/>
    <w:p>
      <w:pPr>
        <w:ind w:right="140" w:firstLine="324"/>
        <w:spacing w:after="0" w:line="254" w:lineRule="auto"/>
        <w:rPr>
          <w:sz w:val="20"/>
          <w:szCs w:val="20"/>
          <w:color w:val="auto"/>
        </w:rPr>
      </w:pPr>
      <w:r>
        <w:rPr>
          <w:rFonts w:ascii="Arial" w:cs="Arial" w:eastAsia="Arial" w:hAnsi="Arial"/>
          <w:sz w:val="18"/>
          <w:szCs w:val="18"/>
          <w:color w:val="auto"/>
        </w:rPr>
        <w:t>Through its commercial lending subsidiaries, Pinnacle and Bridge, the Bank provides equipment and franchise financing on a national basis using both loan and lease structures. Pinnacle provides essential use equipment financing to state and local governmental entities directly and through vendor programs and alliances. Pinnacle offers a full array of financing structures including equipment lease purchase agreements and direct (private placement) bond re-fundings and loan agreements. Bridge has two operating divisions. The franchise finance division offers franchise acquisition, expansion and equipment financing, typically to experienced operators in well-established concepts. The equipment finance division provides primarily transportation equipment financing through a variety of loan and lease structures. The Bank's SBF unit primarily originates SBA guaranteed commercial and commercial real estate loans, generally selling the guaranteed portion in the secondary market and retaining the unguaranteed portion in portfolio. The Bank engages in mortgage warehouse lending on a national basis.</w:t>
      </w:r>
    </w:p>
    <w:p>
      <w:pPr>
        <w:spacing w:after="0" w:line="24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geographic concentration of the commercial loans and direct financing leases in the national platforms is summarized as follows at the dates indicated. Amounts include premiums, discounts and deferred fees and costs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1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March 31, 2019</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2018</w:t>
            </w:r>
          </w:p>
        </w:tc>
        <w:tc>
          <w:tcPr>
            <w:tcW w:w="740" w:type="dxa"/>
            <w:vAlign w:val="bottom"/>
            <w:tcBorders>
              <w:bottom w:val="single" w:sz="8" w:color="auto"/>
            </w:tcBorders>
          </w:tcPr>
          <w:p>
            <w:pPr>
              <w:spacing w:after="0"/>
              <w:rPr>
                <w:sz w:val="16"/>
                <w:szCs w:val="16"/>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584,632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595,843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4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524,925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498,842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5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161,333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153,619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Utah</w:t>
            </w:r>
          </w:p>
        </w:tc>
        <w:tc>
          <w:tcPr>
            <w:tcW w:w="4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155,338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156,732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Iowa</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151,947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151,036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Arizona</w:t>
            </w:r>
          </w:p>
        </w:tc>
        <w:tc>
          <w:tcPr>
            <w:tcW w:w="4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144,122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149,087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150,330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150,878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All others (1)</w:t>
            </w:r>
          </w:p>
        </w:tc>
        <w:tc>
          <w:tcPr>
            <w:tcW w:w="4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1,510,370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1,444,656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7"/>
        </w:trPr>
        <w:tc>
          <w:tcPr>
            <w:tcW w:w="5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5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3,382,997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3,300,693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298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4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No other state represented borrowers with more than 4.0% of loans outstanding at March 31, 2019 or December 31, 2018.</w:t>
      </w:r>
    </w:p>
    <w:p>
      <w:pPr>
        <w:spacing w:after="0" w:line="2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At March 31, 2019, 37.4% and 24.9% of commercial loans were originated within the Florida and New York portfolios, respectively. At December 31, 2018, 37.0% and 25.4% of commercial loans were originated within the Florida and New York portfolios,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under Operating Lease</w:t>
      </w:r>
    </w:p>
    <w:p>
      <w:pPr>
        <w:spacing w:after="0" w:line="2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Equipment under operating lease totaled $710 million at March 31, 2019. The portfolio consisted primarily of railcars, non-commercial aircraft and other transport equipment. We have a total of 5,571 railcars with a carrying value of $437 million at March 31, 2019, including hoppers, tank cars, boxcars, auto carriers, center beams and gondolas leased to North American commercial end-users. The largest concentrations of rail cars were 2,261 hopper cars and 1,595 tank cars, primarily used to ship sand and petroleum products, respectively, for the energy industry. Equipment with a carrying value of $289 million at March 31, 2019 was leased to companies for use in the energy industry.</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chart below presents equipment under operating lease by type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5917565" cy="2118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17565" cy="211836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935" w:right="2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Asset Quality</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Commercial Loans</w:t>
      </w:r>
    </w:p>
    <w:p>
      <w:pPr>
        <w:spacing w:after="0" w:line="27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 have a robust credit risk management framework, an experienced team to lead the workout and recovery process for the commercial and commercial real estate portfolios and a dedicated internal credit review function. Loan performance is monitored by our credit administration and workout and recovery departments. Generally, commercial relationships with balances in excess of defined thresholds are re-evaluated at least annually and more frequently if circumstances indicate that a change in risk rating may be warranted. The defined thresholds range from $1 million to $3 million. Homogenous groups of smaller balance commercial loans may be monitored collectively. Additionally, commercial loans as well as underwriting and portfolio management practices are regularly reviewed by our internal credit review department. The Company utilizes a 13 grade internal asset risk classification system as part of its efforts to monitor and maintain commercial asset quality. Loans exhibiting potential credit weaknesses that deserve management’s close attention and that if left uncorrected may result in deterioration of the repayment capacity of the borrower are categorized as special mention. These borrowers may exhibit negative financial trends or erratic financial performance, strained liquidity, marginal collateral coverage, declining industry trends or weak management. Loans with well-defined credit weaknesses that may result in a loss if the deficiencies are not corrected are assigned a risk rating of substandard. These borrowers may exhibit payment defaults, inadequate cash flows, operating losses, increasing balance sheet leverage, project cost overruns, unreasonable construction delays, exhausted interest reserves, declining collateral values, frequent overdrafts or past due real estate taxes. Loans with weaknesses so severe that collection in full is highly questionable or improbable, but because of certain reasonably specific pending factors have not been charged off, are assigned an internal risk rating of doubtful.</w:t>
      </w:r>
    </w:p>
    <w:p>
      <w:pPr>
        <w:spacing w:after="0" w:line="23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believe internal risk rating is the best indicator of the credit quality of commercial loans. The following table summarizes the Company's commercial credit exposure, based on internal risk rating, at the dates indicated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5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w:t>
            </w: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Percent of Total</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w:t>
            </w: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rPr>
              <w:t>Percent of Total</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Pass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16,998,822</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16,728,534</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mention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75,883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81,070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Substandard</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229,170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210,026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Doubtful</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9,255</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8,389</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7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17,313,130</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17,028,019</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Equipment Under Operating Lease</w:t>
      </w:r>
    </w:p>
    <w:p>
      <w:pPr>
        <w:spacing w:after="0" w:line="27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Two operating lease relationships with a carrying value of assets under lease totaling $72 million, of which $36 million were exposures to the energy industry, were internally risk rated substandard at March 31, 2019. The present value of remaining lease payments on these leases and their residual values totaled approximately $41 million and $53 million, respectively at March 31, 2019, of which $36 million and $50 million, respectively were exposures to the energy industry. One relationship has been restructured to date, with no decrease in total minimum lease payments.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primary risks inherent in the equipment leasing business are asset risk resulting from ownership of the equipment on operating lease and credit risk. Asset risk arises from fluctuations in supply and demand for the underlying leased equipment. The equipment is leased to commercial end-users with original lease terms generally ranging from three to ten years at March 31, 2019. We are exposed to the risk that, at the end of the lease term, the value of the asset will be lower than expected, potentially resulting in reduced future lease income over the remaining life of the asset or a lower sale value. Asset risk may also lead to changes in depreciation as a result of changes in the residual values of the operating lease assets or through impairment of asset carrying values. Asset risk may be higher for long-lived equipment such as railcars, which have useful lives of approximately 35-50 years.</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Asset risk is evaluated and managed by a dedicated internal staff of asset managers, managed by seasoned equipment finance professionals with a broad depth and breadth of experience in the leasing business. Additionally, we have partnered with an industry leading, experienced service provider who provides fleet management and servicing relating to the railcar fleet, including lease administration and reporting, a Regulation Y compliant full service maintenance program and railcar re-marketing. Risk is managed by setting appropriate residual values at inception and systematic reviews of residual values based on independent appraisals, performed at least annually. Additionally, our internal management team and our external service provider closely follow the rail markets, monitoring traffic flows, supply and demand trends and the impact of new technologies and regulatory requirements. Demand for railcars is sensitive to shifts in general and industry specific economic</w:t>
      </w:r>
    </w:p>
    <w:p>
      <w:pPr>
        <w:sectPr>
          <w:pgSz w:w="11900" w:h="16838" w:orient="portrait"/>
          <w:cols w:equalWidth="0" w:num="1">
            <w:col w:w="11420"/>
          </w:cols>
          <w:pgMar w:left="240" w:top="1013"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013" w:right="239" w:bottom="1440" w:gutter="0" w:footer="0" w:header="0"/>
          <w:type w:val="continuous"/>
        </w:sectPr>
      </w:pPr>
    </w:p>
    <w:bookmarkStart w:id="57" w:name="page58"/>
    <w:bookmarkEnd w:id="57"/>
    <w:p>
      <w:pPr>
        <w:ind w:right="100"/>
        <w:spacing w:after="0" w:line="259" w:lineRule="auto"/>
        <w:rPr>
          <w:sz w:val="20"/>
          <w:szCs w:val="20"/>
          <w:color w:val="auto"/>
        </w:rPr>
      </w:pPr>
      <w:r>
        <w:rPr>
          <w:rFonts w:ascii="Arial" w:cs="Arial" w:eastAsia="Arial" w:hAnsi="Arial"/>
          <w:sz w:val="18"/>
          <w:szCs w:val="18"/>
          <w:color w:val="auto"/>
        </w:rPr>
        <w:t>and market trends and shifts in trade flows from specific events such as natural or man-made disasters. We seek to mitigate these risks by leasing to a stable end-user base, by maintaining a relatively young and diversified fleet of assets that are expected to maintain stronger and more stable utilization rates despite impacts from unexpected events or cyclical trends and by staggering lease maturities. We regularly monitor the impact of oil prices on the estimated residual value of rail cars being used in the petroleum/natural gas extraction sector.</w:t>
      </w:r>
    </w:p>
    <w:p>
      <w:pPr>
        <w:spacing w:after="0" w:line="24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Credit risk in the leased equipment portfolio results from the potential default of lessees, possibly driven by obligor specific or industry-wide conditions, and is economically less significant than asset risk, because in the operating lease business, there is no extension of credit to the obligor. Instead, the lessor deploys a portion of the useful life of the asset. Credit losses, if any, will manifest through reduced rental income due to missed payments, time off lease, or lower rental payments due either to a restructuring or re-leasing of the asset to another obligor. Credit risk in the operating lease portfolio is managed and monitored utilizing credit administration infrastructure, processes and procedures similar to those used to manage and monitor credit risk in the commercial loan portfolio. We also mitigate credit risk in this portfolio by leasing only to high credit quality obligors.</w:t>
      </w:r>
    </w:p>
    <w:p>
      <w:pPr>
        <w:spacing w:after="0" w:line="3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Residential and Other Consumer Loans</w:t>
      </w:r>
    </w:p>
    <w:p>
      <w:pPr>
        <w:spacing w:after="0" w:line="27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majority of our residential mortgage portfolio consists of loans purchased through established correspondent channels. Most of our purchases are of performing jumbo mortgage loans which have FICO scores above 700, primarily are owner-occupied and full documentation, and have a current LTV of 80% or less although loans with LTVs higher than 80% may be extended to selected credit-worthy borrowers. We perform due diligence on the purchased loans for credit, compliance, counterparty, payment history and property valuation.</w:t>
      </w:r>
    </w:p>
    <w:p>
      <w:pPr>
        <w:spacing w:after="0" w:line="24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a dedicated residential credit risk management function, and the residential portfolio is monitored by our internal credit review function. Residential mortgage loans and consumer loans are not individually risk rated. Delinquency status is the primary measure we use to monitor the credit quality of these loans. We also consider original LTV and FICO score to be significant indicators of credit quality for the 1-4 single family residential portfolio, excluding FSB loans and government insured residential loans.</w:t>
      </w:r>
    </w:p>
    <w:p>
      <w:pPr>
        <w:spacing w:after="0" w:line="24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following tables show the distribution of 1-4 single family residential loans, excluding FSB loans and government insured residential loans, by original FICO and LTV as of the dates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March 31, 2019</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FICO</w:t>
            </w: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LTV</w:t>
            </w:r>
          </w:p>
        </w:tc>
        <w:tc>
          <w:tcPr>
            <w:tcW w:w="120" w:type="dxa"/>
            <w:vAlign w:val="bottom"/>
            <w:vMerge w:val="restart"/>
          </w:tcPr>
          <w:p>
            <w:pPr>
              <w:spacing w:after="0"/>
              <w:rPr>
                <w:sz w:val="13"/>
                <w:szCs w:val="13"/>
                <w:color w:val="auto"/>
              </w:rPr>
            </w:pPr>
          </w:p>
        </w:tc>
        <w:tc>
          <w:tcPr>
            <w:tcW w:w="12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720 or less</w:t>
            </w:r>
          </w:p>
        </w:tc>
        <w:tc>
          <w:tcPr>
            <w:tcW w:w="120" w:type="dxa"/>
            <w:vAlign w:val="bottom"/>
            <w:vMerge w:val="restart"/>
          </w:tcPr>
          <w:p>
            <w:pPr>
              <w:spacing w:after="0"/>
              <w:rPr>
                <w:sz w:val="13"/>
                <w:szCs w:val="13"/>
                <w:color w:val="auto"/>
              </w:rPr>
            </w:pPr>
          </w:p>
        </w:tc>
        <w:tc>
          <w:tcPr>
            <w:tcW w:w="13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721 - 740</w:t>
            </w: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741 - 760</w:t>
            </w:r>
          </w:p>
        </w:tc>
        <w:tc>
          <w:tcPr>
            <w:tcW w:w="100" w:type="dxa"/>
            <w:vAlign w:val="bottom"/>
          </w:tcPr>
          <w:p>
            <w:pPr>
              <w:spacing w:after="0"/>
              <w:rPr>
                <w:sz w:val="13"/>
                <w:szCs w:val="13"/>
                <w:color w:val="auto"/>
              </w:rPr>
            </w:pPr>
          </w:p>
        </w:tc>
        <w:tc>
          <w:tcPr>
            <w:tcW w:w="140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761 or</w:t>
            </w:r>
          </w:p>
        </w:tc>
        <w:tc>
          <w:tcPr>
            <w:tcW w:w="13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greater</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 or less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4380" w:type="dxa"/>
            <w:vAlign w:val="bottom"/>
          </w:tcPr>
          <w:p>
            <w:pPr>
              <w:jc w:val="center"/>
              <w:spacing w:after="0"/>
              <w:rPr>
                <w:sz w:val="20"/>
                <w:szCs w:val="20"/>
                <w:color w:val="auto"/>
              </w:rPr>
            </w:pPr>
            <w:r>
              <w:rPr>
                <w:rFonts w:ascii="Arial" w:cs="Arial" w:eastAsia="Arial" w:hAnsi="Arial"/>
                <w:sz w:val="18"/>
                <w:szCs w:val="18"/>
                <w:color w:val="auto"/>
                <w:w w:val="90"/>
              </w:rPr>
              <w:t>60% - 70%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 - 80%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43"/>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More than 80%</w:t>
            </w: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FICO</w:t>
            </w: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LTV</w:t>
            </w:r>
          </w:p>
        </w:tc>
        <w:tc>
          <w:tcPr>
            <w:tcW w:w="120" w:type="dxa"/>
            <w:vAlign w:val="bottom"/>
            <w:vMerge w:val="restart"/>
          </w:tcPr>
          <w:p>
            <w:pPr>
              <w:spacing w:after="0"/>
              <w:rPr>
                <w:sz w:val="13"/>
                <w:szCs w:val="13"/>
                <w:color w:val="auto"/>
              </w:rPr>
            </w:pPr>
          </w:p>
        </w:tc>
        <w:tc>
          <w:tcPr>
            <w:tcW w:w="12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720 or less</w:t>
            </w:r>
          </w:p>
        </w:tc>
        <w:tc>
          <w:tcPr>
            <w:tcW w:w="120" w:type="dxa"/>
            <w:vAlign w:val="bottom"/>
            <w:vMerge w:val="restart"/>
          </w:tcPr>
          <w:p>
            <w:pPr>
              <w:spacing w:after="0"/>
              <w:rPr>
                <w:sz w:val="13"/>
                <w:szCs w:val="13"/>
                <w:color w:val="auto"/>
              </w:rPr>
            </w:pPr>
          </w:p>
        </w:tc>
        <w:tc>
          <w:tcPr>
            <w:tcW w:w="13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721 - 740</w:t>
            </w:r>
          </w:p>
        </w:tc>
        <w:tc>
          <w:tcPr>
            <w:tcW w:w="1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741 - 760</w:t>
            </w:r>
          </w:p>
        </w:tc>
        <w:tc>
          <w:tcPr>
            <w:tcW w:w="100" w:type="dxa"/>
            <w:vAlign w:val="bottom"/>
          </w:tcPr>
          <w:p>
            <w:pPr>
              <w:spacing w:after="0"/>
              <w:rPr>
                <w:sz w:val="13"/>
                <w:szCs w:val="13"/>
                <w:color w:val="auto"/>
              </w:rPr>
            </w:pPr>
          </w:p>
        </w:tc>
        <w:tc>
          <w:tcPr>
            <w:tcW w:w="140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761 or</w:t>
            </w:r>
          </w:p>
        </w:tc>
        <w:tc>
          <w:tcPr>
            <w:tcW w:w="13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greater</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 or less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4380" w:type="dxa"/>
            <w:vAlign w:val="bottom"/>
          </w:tcPr>
          <w:p>
            <w:pPr>
              <w:jc w:val="center"/>
              <w:spacing w:after="0"/>
              <w:rPr>
                <w:sz w:val="20"/>
                <w:szCs w:val="20"/>
                <w:color w:val="auto"/>
              </w:rPr>
            </w:pPr>
            <w:r>
              <w:rPr>
                <w:rFonts w:ascii="Arial" w:cs="Arial" w:eastAsia="Arial" w:hAnsi="Arial"/>
                <w:sz w:val="18"/>
                <w:szCs w:val="18"/>
                <w:color w:val="auto"/>
                <w:w w:val="90"/>
              </w:rPr>
              <w:t>60% - 70%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 - 80%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4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More than 80%</w:t>
            </w: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At March 31, 2019, the 1-4 single family residential loan portfolio, excluding FSB loans and government insured residential loans, had the following characteristics: substantially all were full documentation with a weighted-average FICO score of 764 and a weighted-average LTV of 67.8%. The majority of this portfolio was owner-occupied, with 85.4% primary residence, 7.4% second homes and 7.2% investment properties. In terms of vintage, 40.1% of the portfolio was originated pre-2016, 19.8% in 2016, 22.2% in 2017, 15.8% in 2018 and 2.1% in 2019.</w:t>
      </w:r>
    </w:p>
    <w:p>
      <w:pPr>
        <w:sectPr>
          <w:pgSz w:w="11900" w:h="16838" w:orient="portrait"/>
          <w:cols w:equalWidth="0" w:num="1">
            <w:col w:w="11420"/>
          </w:cols>
          <w:pgMar w:left="240" w:top="936"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936" w:right="239" w:bottom="1440" w:gutter="0" w:footer="0" w:header="0"/>
          <w:type w:val="continuous"/>
        </w:sectPr>
      </w:pPr>
    </w:p>
    <w:bookmarkStart w:id="58" w:name="page59"/>
    <w:bookmarkEnd w:id="58"/>
    <w:p>
      <w:pPr>
        <w:ind w:right="120" w:firstLine="324"/>
        <w:spacing w:after="0" w:line="302" w:lineRule="auto"/>
        <w:rPr>
          <w:sz w:val="20"/>
          <w:szCs w:val="20"/>
          <w:color w:val="auto"/>
        </w:rPr>
      </w:pPr>
      <w:r>
        <w:rPr>
          <w:rFonts w:ascii="Arial" w:cs="Arial" w:eastAsia="Arial" w:hAnsi="Arial"/>
          <w:sz w:val="16"/>
          <w:szCs w:val="16"/>
          <w:color w:val="auto"/>
        </w:rPr>
        <w:t>1-4 single family residential loans, excluding government insured residential loans, past due more than 30 days totaled $190.3 million and $23.5 million at March 31, 2019 and December 31, 2018, respectively. The increase in loans past due more than 30 days is procedural, attributable to the transfer of the servicing of the residential loan portfolio during the first quarter of 2019. Delinquency levels are expected to normalize over the course of the next quarter. The amount of these loans 90 days or more past due was $6.6 million and $7.0 million at March 31, 2019 and December 31, 2018, respectively.</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Consumer Loans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Substantially all other consumer loans were current at March 31, 2019 and December 31, 2018.</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Impaired Loans and Non-Performing Assets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Non-performing assets generally consist of (i) non-accrual loans, including loans that have been modified in TDRs and placed on non-accrual status,</w:t>
      </w:r>
    </w:p>
    <w:p>
      <w:pPr>
        <w:spacing w:after="0" w:line="46" w:lineRule="exact"/>
        <w:rPr>
          <w:sz w:val="20"/>
          <w:szCs w:val="20"/>
          <w:color w:val="auto"/>
        </w:rPr>
      </w:pPr>
    </w:p>
    <w:p>
      <w:pPr>
        <w:ind w:right="40" w:firstLine="8"/>
        <w:spacing w:after="0" w:line="273"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accruing loans that are more than 90 days contractually past due as to interest or principal, excluding ACI loans and government insured residential loans, and (iii) OREO and repossessed assets. Impaired loans also typically include loans modified in TDRs that are accruing and ACI loans or pools for which expected cash flows at acquisition (as adjusted for any additional cash flows expected to be collected arising from changes in estimates after acquisition) have been revised downward since acquisition, other than due to changes in interest rate indices and prepayment assumptions.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impaired loans and non-performing assets at the dates indicated (dollars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6"/>
                <w:szCs w:val="16"/>
                <w:color w:val="auto"/>
              </w:rPr>
            </w:pPr>
          </w:p>
        </w:tc>
        <w:tc>
          <w:tcPr>
            <w:tcW w:w="156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 2018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Non-accrual loans</w:t>
            </w:r>
          </w:p>
        </w:tc>
        <w:tc>
          <w:tcPr>
            <w:tcW w:w="2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other consumer:</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1-4 single family residential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7,355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6,316</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consumer loans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288</w:t>
            </w: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Total residential and other consumer loans</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7,638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6,604</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Multi-family</w:t>
            </w:r>
          </w:p>
        </w:tc>
        <w:tc>
          <w:tcPr>
            <w:tcW w:w="2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25,298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25,560</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25,459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16,050</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Construction and land</w:t>
            </w:r>
          </w:p>
        </w:tc>
        <w:tc>
          <w:tcPr>
            <w:tcW w:w="2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9,790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9,923</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Owner occupied commercial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18,439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19,789</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2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24,346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28,584</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lending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22,224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22,733</w:t>
            </w: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Total commercial loans</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125,556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122,639</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non-accrual loans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129,243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Loans past due 90 days and still accruing</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650</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non-performing loans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129,893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OREO</w:t>
            </w:r>
          </w:p>
        </w:tc>
        <w:tc>
          <w:tcPr>
            <w:tcW w:w="20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10,691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8,432</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Repossessed assets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1,085</w:t>
            </w: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Total non-performing assets</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144,970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139,410</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Performing TDRs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24,613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7,898</w:t>
            </w:r>
          </w:p>
        </w:tc>
      </w:tr>
      <w:tr>
        <w:trPr>
          <w:trHeight w:val="297"/>
        </w:trPr>
        <w:tc>
          <w:tcPr>
            <w:tcW w:w="7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impaired loans and non-performing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169,583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147,308</w:t>
            </w:r>
          </w:p>
        </w:tc>
      </w:tr>
      <w:tr>
        <w:trPr>
          <w:trHeight w:val="203"/>
        </w:trPr>
        <w:tc>
          <w:tcPr>
            <w:tcW w:w="7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Non-performing loans to total loans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Non-performing assets to 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ALLL to total loans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ALLL to non-performing loans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84.63%</w:t>
            </w: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auto"/>
              </w:rPr>
              <w:t>Net charge-offs to average loans</w:t>
            </w:r>
            <w:r>
              <w:rPr>
                <w:rFonts w:ascii="Arial" w:cs="Arial" w:eastAsia="Arial" w:hAnsi="Arial"/>
                <w:sz w:val="25"/>
                <w:szCs w:val="25"/>
                <w:color w:val="auto"/>
                <w:vertAlign w:val="superscript"/>
              </w:rPr>
              <w:t>(2)(3)</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189"/>
        </w:trPr>
        <w:tc>
          <w:tcPr>
            <w:tcW w:w="798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bl>
    <w:p>
      <w:pPr>
        <w:spacing w:after="0" w:line="9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loans for purposes of calculating these ratios include premiums, discounts and deferred fees and costs.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Annualized for March 31, 2019.</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ratio of charge-offs of taxi medallion loans to average total loans was 0.18% for the year ended December 31, 2018.</w:t>
      </w:r>
    </w:p>
    <w:p>
      <w:pPr>
        <w:spacing w:after="0" w:line="136"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Contractually delinquent ACI loans with remaining accretable yield are not reflected as non-accrual loans and are not considered to be non-performing assets because accretion continues to be recorded in income. Accretion continues to be recorded as long as there is an expectation of future cash flows in excess of carrying amount from these loans. The carrying value of ACI loans contractually delinquent by more than 90 days but on which income was still being recognized was insignificant at March 31, 2019 and December 31, 2018. Contractually delinquent government insured residential loans are excluded from non-performing loans as defined in the table above. The carrying value of such loans contractually delinquent by more than 90 days was $247 million and $218 million at March 31, 2019 and December 31, 2018, respectively.</w:t>
      </w:r>
    </w:p>
    <w:p>
      <w:pPr>
        <w:spacing w:after="0" w:line="232"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Commercial loans, other than ACI loans, are placed on non-accrual status when (i) management has determined that full repayment of all contractual principal and interest is in doubt, or (ii) the loan is past due 90 days or more as to principal or interest unless the loan is well secured and in the process of collection. Residential and consumer loans, other than ACI loans and government insured pool buyout loans, are generally placed on non-accrual status when</w:t>
      </w:r>
    </w:p>
    <w:p>
      <w:pPr>
        <w:sectPr>
          <w:pgSz w:w="11900" w:h="16838" w:orient="portrait"/>
          <w:cols w:equalWidth="0" w:num="1">
            <w:col w:w="11420"/>
          </w:cols>
          <w:pgMar w:left="240" w:top="936" w:right="239" w:bottom="0" w:gutter="0" w:footer="0" w:header="0"/>
        </w:sectPr>
      </w:pPr>
    </w:p>
    <w:bookmarkStart w:id="59" w:name="page60"/>
    <w:bookmarkEnd w:id="59"/>
    <w:p>
      <w:pPr>
        <w:ind w:right="240"/>
        <w:spacing w:after="0" w:line="302" w:lineRule="auto"/>
        <w:rPr>
          <w:sz w:val="20"/>
          <w:szCs w:val="20"/>
          <w:color w:val="auto"/>
        </w:rPr>
      </w:pPr>
      <w:r>
        <w:rPr>
          <w:rFonts w:ascii="Arial" w:cs="Arial" w:eastAsia="Arial" w:hAnsi="Arial"/>
          <w:sz w:val="16"/>
          <w:szCs w:val="16"/>
          <w:color w:val="auto"/>
        </w:rPr>
        <w:t>90 days of interest is due and unpaid. When a loan is placed on non-accrual status, uncollected interest accrued is reversed and charged to interest income. Commercial loans are returned to accrual status only after all past due principal and interest has been collected and full repayment of remaining contractual principal and interest is reasonably assured. Residential loans are generally returned to accrual status when less than 90 days of interest is due and unpaid. Past due status of loans is determined based on the contractual next payment due date. Loans less than 30 days past due are reported as current.</w:t>
      </w:r>
    </w:p>
    <w:p>
      <w:pPr>
        <w:spacing w:after="0" w:line="20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A loan modification is considered a TDR if the Company, for economic or legal reasons related to the borrower’s financial difficulties, grants a concession to the borrower that the Company would not otherwise grant. These concessions may take the form of temporarily or permanently reduced interest rates, payment abatement periods, restructuring of payment terms, extensions of maturity at below market terms, or in some cases, partial forgiveness of principal. Under GAAP, modified ACI loans accounted for in pools are not accounted for as TDRs and are not separated from their respective pools when modified. Included in TDRs are residential loans to borrowers who have not reaffirmed their debt discharged in Chapter 7 bankruptcy.</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loans that have been modified in TDRs at March 31, 2019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TDRs</w:t>
            </w: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Recorded Investment</w:t>
            </w:r>
          </w:p>
        </w:tc>
        <w:tc>
          <w:tcPr>
            <w:tcW w:w="180" w:type="dxa"/>
            <w:vAlign w:val="bottom"/>
          </w:tcPr>
          <w:p>
            <w:pPr>
              <w:spacing w:after="0"/>
              <w:rPr>
                <w:sz w:val="14"/>
                <w:szCs w:val="14"/>
                <w:color w:val="auto"/>
              </w:rPr>
            </w:pPr>
          </w:p>
        </w:tc>
        <w:tc>
          <w:tcPr>
            <w:tcW w:w="130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Related Specific</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337"/>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other consumer</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79" w:lineRule="exact"/>
        <w:rPr>
          <w:sz w:val="20"/>
          <w:szCs w:val="20"/>
          <w:color w:val="auto"/>
        </w:rPr>
      </w:pPr>
    </w:p>
    <w:p>
      <w:pPr>
        <w:jc w:val="both"/>
        <w:ind w:right="380" w:firstLine="324"/>
        <w:spacing w:after="0" w:line="259" w:lineRule="auto"/>
        <w:rPr>
          <w:sz w:val="20"/>
          <w:szCs w:val="20"/>
          <w:color w:val="auto"/>
        </w:rPr>
      </w:pPr>
      <w:r>
        <w:rPr>
          <w:rFonts w:ascii="Arial" w:cs="Arial" w:eastAsia="Arial" w:hAnsi="Arial"/>
          <w:sz w:val="18"/>
          <w:szCs w:val="18"/>
          <w:color w:val="auto"/>
        </w:rPr>
        <w:t>Potential problem loans have been identified by management as those commercial loans included in the "substandard accruing" risk rating category. These loans are typically performing, but possess specifically identified credit weaknesses that, if not remedied, may lead to a downgrade to non-accrual status and identification as impaired in the near-term. Substandard accruing commercial loans totaled $113 million at March 31, 2019, substantially all of which were current as to principal and interest at March 31, 2019.</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Mitigation Strategies</w:t>
      </w:r>
    </w:p>
    <w:p>
      <w:pPr>
        <w:spacing w:after="0" w:line="27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Criticized or classified commercial loans in excess of certain thresholds are reviewed quarterly by the Criticized Asset Committee, which evaluates the appropriate strategy for collection to mitigate the amount of credit losses. Criticized asset reports for each relationship are presented by the assigned relationship manager and credit officer to the Criticized Asset Committee until such time as the relationships are returned to a satisfactory credit risk rating or otherwise resolved. The Criticized Asset Committee may require the transfer of a loan to our workout and recovery department, which is tasked to effectively manage the loan with the goal of minimizing losses and expenses associated with restructure, collection and/or liquidation of collateral. Commercial loans with a risk rating of substandard; impaired loans on non-accrual status; loans modified as TDRs; or assets classified as OREO or repossessed assets are usually transferred to workout and recovery. Oversight of the workout and recovery department is provided by the Asset Recovery Committee.</w:t>
      </w:r>
    </w:p>
    <w:p>
      <w:pPr>
        <w:spacing w:after="0" w:line="2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servicers evaluate each residential loan in default to determine the most effective loss mitigation strategy, which may be modification, short sale, or foreclosure, and pursue the alternative most suitable to the consumer and to mitigate losses to the bank.</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Analysis of the Allowance for Loan and Lease Losses</w:t>
      </w:r>
    </w:p>
    <w:p>
      <w:pPr>
        <w:spacing w:after="0" w:line="283"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ALLL relates to loans originated or purchased since the FSB acquisition and impairment recognized as a result of decreases in expected cash flows on ACI loans due to further credit deterioration. The determination of the amount of the ALLL is, by nature, highly complex and subjective. Future events that are inherently uncertain could result in material changes to the level of the ALLL. General economic conditions including but not limited to unemployment rates, the level of business investment and growth, real estate values, vacancy rates and rental rates in our primary market areas, the level of interest rates, and a variety of other factors that affect the ability of borrowers’ businesses to generate cash flows sufficient to service their debts will impact the future performance of the portfolio. Adoption of the CECL model in the first quarter of 2020 will result in significant changes to the methodology employed to determine the amount of the ALLL, and may materially impact the amount of the ALLL recorded in the consolidated financial statements.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loans</w:t>
      </w:r>
    </w:p>
    <w:p>
      <w:pPr>
        <w:spacing w:after="0" w:line="27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allowance is comprised of specific reserves for loans that are individually evaluated and determined to be impaired as well as general reserves for loans that have not been identified as impaired.</w:t>
      </w:r>
    </w:p>
    <w:p>
      <w:pPr>
        <w:spacing w:after="0" w:line="224"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Commercial relationships graded substandard or doubtful and on non-accrual status with committed credit facilities greater than or equal to $1.0 million, as well as loans modified in TDRs, are individually evaluated for impairment. Other commercial relationships on non-accrual status with committed balances under $1.0 million may also be evaluated individually for impairment, at management's discretion. For loans evaluated individually for impairment and determined to be impaired, a specific allowance is established based on the present value of expected cash flows discounted at the loan’s effective interest rate, the estimated fair value of the loan, or the estimated fair value of collateral less costs to sell.</w:t>
      </w:r>
    </w:p>
    <w:p>
      <w:pPr>
        <w:spacing w:after="0" w:line="22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believe that loans rated special mention, substandard or doubtful that are not individually evaluated for impairment exhibit characteristics indicative of a heightened level of credit risk. We apply a quantitative loss factor for loans rated special mention based on average annual probability of default and implied severity, derived from internal and external data. Loss factors for substandard and doubtful loans that are not individually evaluated are determined by using default frequency and severity information applied at the loan level. Estimated default frequencies and severities are based on available industry and internal data. In addition, we apply a floor to these calculated loss factors, based on the loss factor applied to the special mention portfolio.</w:t>
      </w:r>
    </w:p>
    <w:p>
      <w:pPr>
        <w:spacing w:after="0" w:line="21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To the extent, in management's judgment, commercial portfolio segments have sufficient observable loss history, the quantitative portion of the ALLL is based on the Bank's historical net charge-off rates. These commercial segments include owner-occupied commercial real estate loans, commercial and industrial loans and the Bridge portfolios. For commercial portfolio segments that have not yet exhibited an observable loss trend, the quantitative loss factors are based on peer group average annual historical net charge-off rates by loan class and the Company’s internal credit risk rating system. These commercial segments include multifamily, non-owner occupied commercial real estate and construction and land loans. For Pinnacle, quantitative loss factors are based primarily on historical municipal default data. For most commercial portfolio segments, we use a 20 quarter look-back period in the calculation of historical net charge-off rates.</w:t>
      </w:r>
    </w:p>
    <w:p>
      <w:pPr>
        <w:spacing w:after="0" w:line="24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Where applicable, the peer group used to calculate average annual historical net charge-off rates used in estimating general reserves is made up of 25 banks included in the OCC Midsize Bank Group plus five additional banks not included in the OCC Midsize Bank Group that management believes to be comparable based on size, geography and nature of lending operations. Peer bank data is obtained from the Statistics on Depository Institutions Report published by the FDIC for the most recent quarter available. These banks, as a group, are considered by management to be comparable to BankUnited in size, nature of lending operations and loan portfolio composition. We evaluate the composition of the peer group annually, or more frequently if, in our judgment, a more frequent evaluation is necessary. Our internal risk rating system comprises 13 credit grades; grades 1 through 8 are “pass” grades. The risk ratings are driven largely by debt service coverage. Peer group historical loss rates are adjusted upward for loans assigned a lower “pass” rating.</w:t>
      </w:r>
    </w:p>
    <w:p>
      <w:pPr>
        <w:spacing w:after="0" w:line="22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As noted above, we generally use a 20 quarter look-back period to calculate quantitative loss rates. We believe this look-back period to be consistent with the range of industry practice and appropriate to capture a sufficient range of observations reflecting the performance of our loans, which were originated in the current economic cycle. With the exception of the Pinnacle municipal finance portfolio, a four quarter loss emergence period is used in the calculation of general reserves. A twelve quarter loss emergence period is used in the calculation of general reserves for the Pinnacle portfolio.</w:t>
      </w:r>
    </w:p>
    <w:p>
      <w:pPr>
        <w:spacing w:after="0" w:line="20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primary assumptions underlying estimates of expected cash flows for ACI commercial loans are default probability and severity of loss given default. Assessments of default probability and severity are based on net realizable value analyses prepared at the individual loan level. Based on our analysis, no ALLL related to ACI commercial loans was recorded at March 31, 2019 or December 31, 2018.</w:t>
      </w:r>
    </w:p>
    <w:p>
      <w:pPr>
        <w:spacing w:after="0" w:line="200" w:lineRule="exact"/>
        <w:rPr>
          <w:sz w:val="20"/>
          <w:szCs w:val="20"/>
          <w:color w:val="auto"/>
        </w:rPr>
      </w:pPr>
    </w:p>
    <w:p>
      <w:pPr>
        <w:spacing w:after="0" w:line="27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013" w:right="2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b w:val="1"/>
          <w:bCs w:val="1"/>
          <w:i w:val="1"/>
          <w:iCs w:val="1"/>
          <w:color w:val="auto"/>
        </w:rPr>
        <w:t>Residential and other consumer loans</w:t>
      </w:r>
    </w:p>
    <w:p>
      <w:pPr>
        <w:spacing w:after="0" w:line="27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residential and other consumer loan portfolio has not yet developed an observable loss trend. Therefore, the ALLL for residential loans is based primarily on relevant proxy historical loss rates. The ALLL for 1-4 single family residential loans, excluding government insured residential loans, is estimated using average annual loss rates on prime residential mortgage securitizations issued between 2003 and 2008 as a proxy. Based on the comparability of FICO scores and LTV ratios between loans included in those securitizations and loans in the Bank’s portfolio and the geographic diversity in the new purchased residential portfolio, we determined that prime residential mortgage securitizations provide an appropriate proxy for incurred losses in this portfolio class. A peer group 20-quarter average net charge-off rate is used to estimate the ALLL for the home equity and other consumer loan classes. See further discussion of peer group loss factors above. The home equity and other consumer loan portfolios are not significant components of the overall loan portfolio.</w:t>
      </w:r>
    </w:p>
    <w:p>
      <w:pPr>
        <w:spacing w:after="0" w:line="3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Qualitative Factors</w:t>
      </w:r>
    </w:p>
    <w:p>
      <w:pPr>
        <w:spacing w:after="0" w:line="2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Qualitative adjustments are made to the ALLL when, based on management’s judgment, there are internal or external factors impacting probable incurred losses not taken into account by the quantitative calculations. Potential qualitative adjustments are categorized as follows:</w:t>
      </w:r>
    </w:p>
    <w:p>
      <w:pPr>
        <w:spacing w:after="0" w:line="22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Portfolio performance trends, including trends in and the levels of delinquencies, non-performing loans and classified loans;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the nature of the portfolio and terms of the loans, specifically including the volume and nature of policy and procedural exceptions;</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Portfolio growth trends;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lending policies and procedures, including credit and underwriting guidelines and portfolio management practices;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factors, including unemployment rates and GDP growth rates and other factors considered relevant by management;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value of underlying collateral;</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Quality of risk ratings, as evaluated by our independent credit review function;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Credit concentrations;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and experience levels of credit administration management and staff; and</w:t>
      </w:r>
    </w:p>
    <w:p>
      <w:pPr>
        <w:spacing w:after="0" w:line="279"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identified by management that may impact the level of losses inherent in the portfolio, including but not limited to competition and legal and regulatory considerations.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ACI Loans</w:t>
      </w:r>
    </w:p>
    <w:p>
      <w:pPr>
        <w:spacing w:after="0" w:line="27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For ACI loans, a valuation allowance is established when periodic evaluations of expected cash flows reflect a deterioration resulting from credit related factors from the level of cash flows that were estimated to be collected at acquisition plus any additional expected cash flows arising from revisions in those estimates. We perform a quarterly analysis of expected cash flows for ACI loans.</w:t>
      </w:r>
    </w:p>
    <w:p>
      <w:pPr>
        <w:spacing w:after="0" w:line="23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Expected cash flows for ACI 1-4 single family residential loans are estimated at the pool level. The analysis of expected cash flows incorporates assumptions about expected prepayment rates, default rates, delinquency levels and loss severity given default.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ALLL related to 1-4 single family residential ACI pools was recorded at March 31, 2019 or December 31, 2018.</w:t>
      </w:r>
    </w:p>
    <w:p>
      <w:pPr>
        <w:spacing w:after="0" w:line="200" w:lineRule="exact"/>
        <w:rPr>
          <w:sz w:val="20"/>
          <w:szCs w:val="20"/>
          <w:color w:val="auto"/>
        </w:rPr>
      </w:pPr>
    </w:p>
    <w:p>
      <w:pPr>
        <w:spacing w:after="0" w:line="322"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017" w:right="25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color w:val="auto"/>
        </w:rPr>
        <w:t>The following table provides an analysis of the ALLL, provision for loan losses and net charge-offs for the periods indicated (in thousands):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109,931</w:t>
            </w:r>
          </w:p>
        </w:tc>
        <w:tc>
          <w:tcPr>
            <w:tcW w:w="100" w:type="dxa"/>
            <w:vAlign w:val="bottom"/>
          </w:tcPr>
          <w:p>
            <w:pPr>
              <w:spacing w:after="0"/>
              <w:rPr>
                <w:sz w:val="21"/>
                <w:szCs w:val="21"/>
                <w:color w:val="auto"/>
              </w:rPr>
            </w:pP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144,795</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(recovery of) loan losses: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1-4 single family residential</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 loans and lines of credit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consumer loans</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and land</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Owner occupied commercial real estate</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541</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Commercial lending subsidiaries</w:t>
            </w: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Pinnacle</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Bridge - franchise finance</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Bridge - equipment finance</w:t>
            </w: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Provision</w:t>
            </w: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10,281</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3,147</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1-4 single family residential</w:t>
            </w:r>
          </w:p>
        </w:tc>
        <w:tc>
          <w:tcPr>
            <w:tcW w:w="1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consumer loans</w:t>
            </w:r>
          </w:p>
        </w:tc>
        <w:tc>
          <w:tcPr>
            <w:tcW w:w="1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Owner occupied commercial real estate</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r>
      <w:tr>
        <w:trPr>
          <w:trHeight w:val="270"/>
        </w:trPr>
        <w:tc>
          <w:tcPr>
            <w:tcW w:w="74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Commercial and industrial</w:t>
            </w:r>
            <w:r>
              <w:rPr>
                <w:rFonts w:ascii="Arial" w:cs="Arial" w:eastAsia="Arial" w:hAnsi="Arial"/>
                <w:sz w:val="25"/>
                <w:szCs w:val="25"/>
                <w:color w:val="auto"/>
                <w:vertAlign w:val="superscript"/>
              </w:rPr>
              <w:t>(1)</w:t>
            </w:r>
          </w:p>
        </w:tc>
        <w:tc>
          <w:tcPr>
            <w:tcW w:w="1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(6,882)</w:t>
            </w: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Charge-offs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 loans and lines of credit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consumer loans</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Owner occupied commercial real estate</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7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lending subsidiaries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Bridge - franchise finance</w:t>
            </w:r>
          </w:p>
        </w:tc>
        <w:tc>
          <w:tcPr>
            <w:tcW w:w="1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Recoveries</w:t>
            </w: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Net Charge-offs:</w:t>
            </w: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(10,466)</w:t>
            </w:r>
          </w:p>
        </w:tc>
      </w:tr>
      <w:tr>
        <w:trPr>
          <w:trHeight w:val="27"/>
        </w:trPr>
        <w:tc>
          <w:tcPr>
            <w:tcW w:w="74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114,703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137,476</w:t>
            </w:r>
          </w:p>
        </w:tc>
      </w:tr>
      <w:tr>
        <w:trPr>
          <w:trHeight w:val="20"/>
        </w:trPr>
        <w:tc>
          <w:tcPr>
            <w:tcW w:w="7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248920</wp:posOffset>
            </wp:positionV>
            <wp:extent cx="1372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7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charge-offs of $5.4 million related to taxi medallion loans during the three months ended March 31, 2018.</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5780"/>
        <w:spacing w:after="0"/>
        <w:rPr>
          <w:rFonts w:ascii="Arial" w:cs="Arial" w:eastAsia="Arial" w:hAnsi="Arial"/>
          <w:sz w:val="16"/>
          <w:szCs w:val="16"/>
          <w:color w:val="auto"/>
        </w:rPr>
      </w:pPr>
      <w:r>
        <w:rPr>
          <w:rFonts w:ascii="Arial" w:cs="Arial" w:eastAsia="Arial" w:hAnsi="Arial"/>
          <w:sz w:val="18"/>
          <w:szCs w:val="18"/>
          <w:color w:val="auto"/>
        </w:rPr>
        <w:t>58</w:t>
      </w:r>
    </w:p>
    <w:p>
      <w:pPr>
        <w:sectPr>
          <w:pgSz w:w="11900" w:h="16838" w:orient="portrait"/>
          <w:cols w:equalWidth="0" w:num="1">
            <w:col w:w="11420"/>
          </w:cols>
          <w:pgMar w:left="240" w:top="935"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color w:val="auto"/>
        </w:rPr>
        <w:t>The following table shows the distribution of the ALLL at the dates indicated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6"/>
              </w:rPr>
              <w:t>March 31, 2019</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December 31, 2018</w:t>
            </w:r>
          </w:p>
        </w:tc>
      </w:tr>
      <w:tr>
        <w:trPr>
          <w:trHeight w:val="264"/>
        </w:trPr>
        <w:tc>
          <w:tcPr>
            <w:tcW w:w="6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8"/>
                <w:szCs w:val="8"/>
                <w:b w:val="1"/>
                <w:bCs w:val="1"/>
                <w:color w:val="auto"/>
              </w:rPr>
              <w:t>(1)</w:t>
            </w:r>
          </w:p>
        </w:tc>
      </w:tr>
      <w:tr>
        <w:trPr>
          <w:trHeight w:val="250"/>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and other consumer:</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1 - 4 single family residential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10,804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10,626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 loans and lines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Other consumer loans</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10,788</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Non-owner occupied commercial real estate</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33,843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30,258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and land</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8,351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9,799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34,316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Commercial lending subsidiaries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Pinnacle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6160" w:type="dxa"/>
            <w:vAlign w:val="bottom"/>
          </w:tcPr>
          <w:p>
            <w:pPr>
              <w:ind w:left="380"/>
              <w:spacing w:after="0"/>
              <w:rPr>
                <w:sz w:val="20"/>
                <w:szCs w:val="20"/>
                <w:color w:val="auto"/>
              </w:rPr>
            </w:pPr>
            <w:r>
              <w:rPr>
                <w:rFonts w:ascii="Arial" w:cs="Arial" w:eastAsia="Arial" w:hAnsi="Arial"/>
                <w:sz w:val="18"/>
                <w:szCs w:val="18"/>
                <w:color w:val="auto"/>
              </w:rPr>
              <w:t>Bridge - franchise finance</w:t>
            </w: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5,887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Bridge - equipment finance</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8,798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9,558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6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103,751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99,143</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r>
      <w:tr>
        <w:trPr>
          <w:trHeight w:val="27"/>
        </w:trPr>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114,703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109,931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46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4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Represents percentage of loans receivable in each category to total loans receivable.</w:t>
      </w:r>
    </w:p>
    <w:p>
      <w:pPr>
        <w:spacing w:after="0" w:line="35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balance of the ALLL at March 31, 2019 increased $4.8 million from the balance at December 31, 2018. Factors influencing the change in the ALLL related to specific loan types at March 31, 2019 as compared to December 31, 2018, include:</w:t>
      </w:r>
    </w:p>
    <w:p>
      <w:pPr>
        <w:spacing w:after="0" w:line="224" w:lineRule="exact"/>
        <w:rPr>
          <w:sz w:val="20"/>
          <w:szCs w:val="20"/>
          <w:color w:val="auto"/>
        </w:rPr>
      </w:pPr>
    </w:p>
    <w:p>
      <w:pPr>
        <w:ind w:left="660" w:right="5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$1.1 million for multi-family loans was primarily attributable to a decrease in the balance of loans outstanding and a decrease in quantitative and qualitative loss factors.</w:t>
      </w:r>
    </w:p>
    <w:p>
      <w:pPr>
        <w:spacing w:after="0" w:line="224"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$3.6 million for non-owner occupied commercial real estate loans was primarily attributable to increases in certain qualitative loss factors and an increase in specific reserves for one impaired loan relationship.</w:t>
      </w:r>
    </w:p>
    <w:p>
      <w:pPr>
        <w:spacing w:after="0" w:line="224"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$1.4 million for owner occupied commercial real estate loans was primarily attributable to a decrease in quantitative and qualitative loss factors and a decrease in the specific reserve for one impaired loan relationship.</w:t>
      </w:r>
    </w:p>
    <w:p>
      <w:pPr>
        <w:spacing w:after="0" w:line="22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$3.6 million for other commercial and industrial loans was attributable to loan growth, an increase in quantitative and qualitative loss factors and increase in specific reserves.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about the ALLL, see Note 4 to the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00"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Average balances and rates paid on deposits were as follows for the periods indicated (dollars in thousands):</w:t>
      </w:r>
    </w:p>
    <w:p>
      <w:pPr>
        <w:spacing w:after="0" w:line="200" w:lineRule="exact"/>
        <w:rPr>
          <w:sz w:val="20"/>
          <w:szCs w:val="20"/>
          <w:color w:val="auto"/>
        </w:rPr>
      </w:pPr>
    </w:p>
    <w:p>
      <w:pPr>
        <w:spacing w:after="0" w:line="300"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23495</wp:posOffset>
            </wp:positionV>
            <wp:extent cx="3756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Average Balance</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Average Rate Paid</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Average Balance</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2"/>
              </w:rPr>
              <w:t>Average Rate Paid</w:t>
            </w:r>
          </w:p>
        </w:tc>
      </w:tr>
      <w:tr>
        <w:trPr>
          <w:trHeight w:val="250"/>
        </w:trPr>
        <w:tc>
          <w:tcPr>
            <w:tcW w:w="5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Demand deposits:</w:t>
            </w: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gridSpan w:val="2"/>
          </w:tcPr>
          <w:p>
            <w:pPr>
              <w:ind w:left="180"/>
              <w:spacing w:after="0"/>
              <w:rPr>
                <w:sz w:val="20"/>
                <w:szCs w:val="20"/>
                <w:color w:val="auto"/>
              </w:rPr>
            </w:pPr>
            <w:r>
              <w:rPr>
                <w:rFonts w:ascii="Arial" w:cs="Arial" w:eastAsia="Arial" w:hAnsi="Arial"/>
                <w:sz w:val="18"/>
                <w:szCs w:val="18"/>
                <w:color w:val="auto"/>
              </w:rPr>
              <w:t>Non-interest bearing</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3,605,131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3,318,952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bearing</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1,702,479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1,600,009</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Money market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11,221,366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10,470,666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Savings</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232,614</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328,604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43"/>
        </w:trPr>
        <w:tc>
          <w:tcPr>
            <w:tcW w:w="5680" w:type="dxa"/>
            <w:vAlign w:val="bottom"/>
            <w:gridSpan w:val="2"/>
          </w:tcPr>
          <w:p>
            <w:pPr>
              <w:ind w:left="40"/>
              <w:spacing w:after="0"/>
              <w:rPr>
                <w:sz w:val="20"/>
                <w:szCs w:val="20"/>
                <w:color w:val="auto"/>
              </w:rPr>
            </w:pPr>
            <w:r>
              <w:rPr>
                <w:rFonts w:ascii="Arial" w:cs="Arial" w:eastAsia="Arial" w:hAnsi="Arial"/>
                <w:sz w:val="18"/>
                <w:szCs w:val="18"/>
                <w:color w:val="auto"/>
              </w:rPr>
              <w:t>Time</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6,907,011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6,314,137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5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680" w:type="dxa"/>
            <w:vAlign w:val="bottom"/>
            <w:tcBorders>
              <w:bottom w:val="single" w:sz="8" w:color="CCEEFF"/>
            </w:tcBorders>
            <w:gridSpan w:val="2"/>
            <w:shd w:val="clear" w:color="auto" w:fill="CCEEFF"/>
          </w:tcPr>
          <w:p>
            <w:pPr>
              <w:ind w:left="55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23,668,601</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22,032,368</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shows scheduled maturities of certificates of deposit with denominations greater than or equal to $100,000 as of March 31, 2019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Three months or less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503,507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Over three through six months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779,377</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 six through twelve months</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1,834,843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Over twelve months</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580,830</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3,698,557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FHLB Advances, Notes and Other Borrowings</w:t>
      </w:r>
    </w:p>
    <w:p>
      <w:pPr>
        <w:spacing w:after="0" w:line="27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addition to deposits, we utilize FHLB advances to fund growth in interest earning assets; the advances provide us with additional flexibility in managing both term and cost of funding. FHLB advances are secured by FHLB stock, qualifying residential first mortgage, commercial real estate and home equity loans, and MBS.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balance of FHLB advances outstanding at March 31, 2019 is scheduled to mature as follows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Maturing in:</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2019—One month or less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1,845,000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2019—Over one month</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2,431,000</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275,000</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Carrying value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5,026,000</w:t>
            </w:r>
          </w:p>
        </w:tc>
      </w:tr>
      <w:tr>
        <w:trPr>
          <w:trHeight w:val="20"/>
        </w:trPr>
        <w:tc>
          <w:tcPr>
            <w:tcW w:w="9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table above reflects contractual maturities of outstanding advances, and does not incorporate the impact that interest rate swaps designated as cash flow hedges have on the duration of borrowings. See Note 8 to the consolidated financial statements for more information about derivative instruments.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senior notes payable and other borrowings consisted of the following at the dates indicated (in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6"/>
                <w:szCs w:val="16"/>
                <w:color w:val="auto"/>
              </w:rPr>
            </w:pPr>
          </w:p>
        </w:tc>
        <w:tc>
          <w:tcPr>
            <w:tcW w:w="168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394,390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8,139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8,359</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402,701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402,749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Senior notes have a face amount of $400 million, a fixed coupon rate of 4.875% and mature on November 17, 2025.</w:t>
      </w:r>
    </w:p>
    <w:p>
      <w:pPr>
        <w:sectPr>
          <w:pgSz w:w="11900" w:h="16838" w:orient="portrait"/>
          <w:cols w:equalWidth="0" w:num="1">
            <w:col w:w="11420"/>
          </w:cols>
          <w:pgMar w:left="240" w:top="800" w:right="239" w:bottom="10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800" w:right="239" w:bottom="1027" w:gutter="0" w:footer="0" w:header="0"/>
          <w:type w:val="continuous"/>
        </w:sectPr>
      </w:pPr>
    </w:p>
    <w:bookmarkStart w:id="65" w:name="page66"/>
    <w:bookmarkEnd w:id="65"/>
    <w:p>
      <w:pPr>
        <w:ind w:right="640" w:firstLine="324"/>
        <w:spacing w:after="0" w:line="277" w:lineRule="auto"/>
        <w:rPr>
          <w:sz w:val="20"/>
          <w:szCs w:val="20"/>
          <w:color w:val="auto"/>
        </w:rPr>
      </w:pPr>
      <w:r>
        <w:rPr>
          <w:rFonts w:ascii="Arial" w:cs="Arial" w:eastAsia="Arial" w:hAnsi="Arial"/>
          <w:sz w:val="18"/>
          <w:szCs w:val="18"/>
          <w:color w:val="auto"/>
        </w:rPr>
        <w:t>The Bank utilizes federal funds purchased to manage the daily cash position. At March 31, 2019, the Company had $175 million in federal funds purchased.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83"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Pursuant to the FDIA, the federal banking agencies have adopted regulations setting forth a five-tier system for measuring the capital adequacy of the financial institutions they supervise. At March 31, 2019 and December 31, 2018, BankUnited and the Company had capital levels that exceeded both the regulatory well-capitalized guidelines and all internal capital ratio targets.</w:t>
      </w:r>
    </w:p>
    <w:p>
      <w:pPr>
        <w:spacing w:after="0" w:line="23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 xml:space="preserve">Stockholders' equity remained relatively flat compared to December 31, 2018. The repurchase of common shares and payment of dividends were offset by the retention of earnings. </w:t>
      </w:r>
      <w:r>
        <w:rPr>
          <w:rFonts w:ascii="Arial" w:cs="Arial" w:eastAsia="Arial" w:hAnsi="Arial"/>
          <w:sz w:val="16"/>
          <w:szCs w:val="16"/>
          <w:color w:val="252525"/>
        </w:rPr>
        <w:t>Our dividend payout ratio was 32.4% and 27.0% for the</w:t>
      </w:r>
      <w:r>
        <w:rPr>
          <w:rFonts w:ascii="Arial" w:cs="Arial" w:eastAsia="Arial" w:hAnsi="Arial"/>
          <w:sz w:val="16"/>
          <w:szCs w:val="16"/>
          <w:color w:val="auto"/>
        </w:rPr>
        <w:t xml:space="preserve"> three months ended March 31, 2019 and 2018, respectively.</w:t>
      </w:r>
    </w:p>
    <w:p>
      <w:pPr>
        <w:spacing w:after="0" w:line="178"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January 2019 the Board of Directors of the Company authorized the repurchase of up to an additional $150 million in shares of its outstanding common stock, subject to any applicable regulatory approvals. Any repurchases will be made in accordance with applicable securities laws from time to time in open market or private transactions. The extent to which the Company repurchases shares, and the timing of such repurchases, will depend upon a variety of factors, including market conditions, the Company’s capital position, regulatory requirements and other considerations. No time limit was set for the completion of the share repurchase program, and the program may be suspended or discontinued at any time.</w:t>
      </w:r>
    </w:p>
    <w:p>
      <w:pPr>
        <w:spacing w:after="0" w:line="22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During the three months ended March 31, 2019, the Company repurchased approximately 1.1 million shares of its common stock for an aggregate purchase price of approximately $40 million, a weighted average price of $35.91 per share.</w:t>
      </w:r>
    </w:p>
    <w:p>
      <w:pPr>
        <w:spacing w:after="0" w:line="224"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We filed a shelf registration statement with the SEC in October 2018 that allows the Company to periodically offer and sell in one or more offerings, individually or in any combination, our common stock, preferred stock and other non-equity securities. The shelf registration provides us with flexibility in issuing capital instruments and enables us to more readily access the capital markets as needed to pursue future growth opportunities and to ensure continued compliance with regulatory capital requirements. Our ability to issue securities pursuant to the shelf registration is subject to market conditions.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regulatory capital for the Company and the Bank as of March 31, 2019 (dollars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Required to be</w:t>
            </w:r>
          </w:p>
        </w:tc>
        <w:tc>
          <w:tcPr>
            <w:tcW w:w="200" w:type="dxa"/>
            <w:vAlign w:val="bottom"/>
          </w:tcPr>
          <w:p>
            <w:pPr>
              <w:spacing w:after="0"/>
              <w:rPr>
                <w:sz w:val="14"/>
                <w:szCs w:val="14"/>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Required to be</w:t>
            </w:r>
          </w:p>
        </w:tc>
        <w:tc>
          <w:tcPr>
            <w:tcW w:w="10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Required to be Considered</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left="402"/>
              <w:spacing w:after="0" w:line="149" w:lineRule="exact"/>
              <w:rPr>
                <w:sz w:val="20"/>
                <w:szCs w:val="20"/>
                <w:color w:val="auto"/>
              </w:rPr>
            </w:pPr>
            <w:r>
              <w:rPr>
                <w:rFonts w:ascii="Arial" w:cs="Arial" w:eastAsia="Arial" w:hAnsi="Arial"/>
                <w:sz w:val="14"/>
                <w:szCs w:val="14"/>
                <w:b w:val="1"/>
                <w:bCs w:val="1"/>
                <w:color w:val="auto"/>
                <w:w w:val="90"/>
              </w:rPr>
              <w:t>Considered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left="462"/>
              <w:spacing w:after="0" w:line="149" w:lineRule="exact"/>
              <w:rPr>
                <w:sz w:val="20"/>
                <w:szCs w:val="20"/>
                <w:color w:val="auto"/>
              </w:rPr>
            </w:pPr>
            <w:r>
              <w:rPr>
                <w:rFonts w:ascii="Arial" w:cs="Arial" w:eastAsia="Arial" w:hAnsi="Arial"/>
                <w:sz w:val="14"/>
                <w:szCs w:val="14"/>
                <w:b w:val="1"/>
                <w:bCs w:val="1"/>
                <w:color w:val="auto"/>
                <w:w w:val="95"/>
              </w:rPr>
              <w:t>Adequately</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Actual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Considered Well</w:t>
            </w:r>
          </w:p>
        </w:tc>
        <w:tc>
          <w:tcPr>
            <w:tcW w:w="200" w:type="dxa"/>
            <w:vAlign w:val="bottom"/>
          </w:tcPr>
          <w:p>
            <w:pPr>
              <w:spacing w:after="0"/>
              <w:rPr>
                <w:sz w:val="12"/>
                <w:szCs w:val="12"/>
                <w:color w:val="auto"/>
              </w:rPr>
            </w:pPr>
          </w:p>
        </w:tc>
        <w:tc>
          <w:tcPr>
            <w:tcW w:w="1260" w:type="dxa"/>
            <w:vAlign w:val="bottom"/>
            <w:gridSpan w:val="3"/>
          </w:tcPr>
          <w:p>
            <w:pPr>
              <w:jc w:val="center"/>
              <w:ind w:left="402"/>
              <w:spacing w:after="0" w:line="149" w:lineRule="exact"/>
              <w:rPr>
                <w:sz w:val="20"/>
                <w:szCs w:val="20"/>
                <w:color w:val="auto"/>
              </w:rPr>
            </w:pPr>
            <w:r>
              <w:rPr>
                <w:rFonts w:ascii="Arial" w:cs="Arial" w:eastAsia="Arial" w:hAnsi="Arial"/>
                <w:sz w:val="14"/>
                <w:szCs w:val="14"/>
                <w:b w:val="1"/>
                <w:bCs w:val="1"/>
                <w:color w:val="auto"/>
                <w:w w:val="92"/>
              </w:rPr>
              <w:t>Adequately</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Capitalized Including Capital</w:t>
            </w: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82"/>
              <w:spacing w:after="0"/>
              <w:rPr>
                <w:sz w:val="20"/>
                <w:szCs w:val="20"/>
                <w:color w:val="auto"/>
              </w:rPr>
            </w:pPr>
            <w:r>
              <w:rPr>
                <w:rFonts w:ascii="Arial" w:cs="Arial" w:eastAsia="Arial" w:hAnsi="Arial"/>
                <w:sz w:val="14"/>
                <w:szCs w:val="14"/>
                <w:b w:val="1"/>
                <w:bCs w:val="1"/>
                <w:color w:val="auto"/>
                <w:w w:val="94"/>
              </w:rPr>
              <w:t>Capitalized</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4"/>
                <w:szCs w:val="14"/>
                <w:b w:val="1"/>
                <w:bCs w:val="1"/>
                <w:color w:val="auto"/>
                <w:w w:val="94"/>
              </w:rPr>
              <w:t>Capitalized</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Conservation Buffer</w:t>
            </w:r>
          </w:p>
        </w:tc>
        <w:tc>
          <w:tcPr>
            <w:tcW w:w="0" w:type="dxa"/>
            <w:vAlign w:val="bottom"/>
          </w:tcPr>
          <w:p>
            <w:pPr>
              <w:spacing w:after="0"/>
              <w:rPr>
                <w:sz w:val="1"/>
                <w:szCs w:val="1"/>
                <w:color w:val="auto"/>
              </w:rPr>
            </w:pPr>
          </w:p>
        </w:tc>
      </w:tr>
      <w:tr>
        <w:trPr>
          <w:trHeight w:val="263"/>
        </w:trPr>
        <w:tc>
          <w:tcPr>
            <w:tcW w:w="2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Ratio</w:t>
            </w:r>
          </w:p>
        </w:tc>
        <w:tc>
          <w:tcPr>
            <w:tcW w:w="220" w:type="dxa"/>
            <w:vAlign w:val="bottom"/>
          </w:tcPr>
          <w:p>
            <w:pPr>
              <w:spacing w:after="0"/>
              <w:rPr>
                <w:sz w:val="22"/>
                <w:szCs w:val="22"/>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Ratio</w:t>
            </w:r>
          </w:p>
        </w:tc>
        <w:tc>
          <w:tcPr>
            <w:tcW w:w="200" w:type="dxa"/>
            <w:vAlign w:val="bottom"/>
          </w:tcPr>
          <w:p>
            <w:pPr>
              <w:spacing w:after="0"/>
              <w:rPr>
                <w:sz w:val="22"/>
                <w:szCs w:val="22"/>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22"/>
                <w:szCs w:val="22"/>
                <w:color w:val="auto"/>
              </w:rPr>
            </w:pPr>
          </w:p>
        </w:tc>
        <w:tc>
          <w:tcPr>
            <w:tcW w:w="130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jc w:val="right"/>
              <w:ind w:right="160"/>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37"/>
        </w:trPr>
        <w:tc>
          <w:tcPr>
            <w:tcW w:w="2440" w:type="dxa"/>
            <w:vAlign w:val="bottom"/>
          </w:tcPr>
          <w:p>
            <w:pPr>
              <w:ind w:left="40"/>
              <w:spacing w:after="0"/>
              <w:rPr>
                <w:sz w:val="20"/>
                <w:szCs w:val="20"/>
                <w:color w:val="auto"/>
              </w:rPr>
            </w:pPr>
            <w:r>
              <w:rPr>
                <w:rFonts w:ascii="Arial" w:cs="Arial" w:eastAsia="Arial" w:hAnsi="Arial"/>
                <w:sz w:val="16"/>
                <w:szCs w:val="16"/>
                <w:b w:val="1"/>
                <w:bCs w:val="1"/>
                <w:color w:val="auto"/>
              </w:rPr>
              <w:t>BankUnited, Inc.:</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Tier 1 leverage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2,843,097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6"/>
                <w:szCs w:val="16"/>
                <w:color w:val="auto"/>
              </w:rPr>
              <w:t xml:space="preserve">N/A </w:t>
            </w:r>
            <w:r>
              <w:rPr>
                <w:rFonts w:ascii="Arial" w:cs="Arial" w:eastAsia="Arial" w:hAnsi="Arial"/>
                <w:sz w:val="21"/>
                <w:szCs w:val="21"/>
                <w:color w:val="auto"/>
                <w:vertAlign w:val="superscript"/>
              </w:rPr>
              <w:t>(1)</w:t>
            </w:r>
          </w:p>
        </w:tc>
        <w:tc>
          <w:tcPr>
            <w:tcW w:w="860" w:type="dxa"/>
            <w:vAlign w:val="bottom"/>
            <w:gridSpan w:val="2"/>
            <w:shd w:val="clear" w:color="auto" w:fill="CCEEFF"/>
          </w:tcPr>
          <w:p>
            <w:pPr>
              <w:jc w:val="center"/>
              <w:ind w:right="400"/>
              <w:spacing w:after="0"/>
              <w:rPr>
                <w:sz w:val="20"/>
                <w:szCs w:val="20"/>
                <w:color w:val="auto"/>
              </w:rPr>
            </w:pPr>
            <w:r>
              <w:rPr>
                <w:rFonts w:ascii="Arial" w:cs="Arial" w:eastAsia="Arial" w:hAnsi="Arial"/>
                <w:sz w:val="16"/>
                <w:szCs w:val="16"/>
                <w:color w:val="auto"/>
                <w:w w:val="86"/>
              </w:rPr>
              <w:t xml:space="preserve">N/A </w:t>
            </w:r>
            <w:r>
              <w:rPr>
                <w:rFonts w:ascii="Arial" w:cs="Arial" w:eastAsia="Arial" w:hAnsi="Arial"/>
                <w:sz w:val="21"/>
                <w:szCs w:val="21"/>
                <w:color w:val="auto"/>
                <w:w w:val="86"/>
                <w:vertAlign w:val="superscript"/>
              </w:rPr>
              <w:t>(1)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1,295,988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 xml:space="preserve">N/A </w:t>
            </w:r>
            <w:r>
              <w:rPr>
                <w:rFonts w:ascii="Arial" w:cs="Arial" w:eastAsia="Arial" w:hAnsi="Arial"/>
                <w:sz w:val="21"/>
                <w:szCs w:val="21"/>
                <w:color w:val="auto"/>
                <w:vertAlign w:val="superscript"/>
              </w:rPr>
              <w:t>(1)</w:t>
            </w: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color w:val="auto"/>
                <w:w w:val="91"/>
                <w:vertAlign w:val="superscript"/>
              </w:rPr>
              <w:t>(1)</w:t>
            </w:r>
          </w:p>
        </w:tc>
        <w:tc>
          <w:tcPr>
            <w:tcW w:w="0" w:type="dxa"/>
            <w:vAlign w:val="bottom"/>
          </w:tcPr>
          <w:p>
            <w:pPr>
              <w:spacing w:after="0"/>
              <w:rPr>
                <w:sz w:val="1"/>
                <w:szCs w:val="1"/>
                <w:color w:val="auto"/>
              </w:rPr>
            </w:pPr>
          </w:p>
        </w:tc>
      </w:tr>
      <w:tr>
        <w:trPr>
          <w:trHeight w:val="237"/>
        </w:trPr>
        <w:tc>
          <w:tcPr>
            <w:tcW w:w="2440" w:type="dxa"/>
            <w:vAlign w:val="bottom"/>
          </w:tcPr>
          <w:p>
            <w:pPr>
              <w:ind w:left="40"/>
              <w:spacing w:after="0"/>
              <w:rPr>
                <w:sz w:val="20"/>
                <w:szCs w:val="20"/>
                <w:color w:val="auto"/>
              </w:rPr>
            </w:pPr>
            <w:r>
              <w:rPr>
                <w:rFonts w:ascii="Arial" w:cs="Arial" w:eastAsia="Arial" w:hAnsi="Arial"/>
                <w:sz w:val="16"/>
                <w:szCs w:val="16"/>
                <w:color w:val="auto"/>
              </w:rPr>
              <w:t>CET1 risk-based capital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2,843,097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1,506,180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1,042,740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1,622,040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Tier 1 risk-based capital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2,843,097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1,853,760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1,390,320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1,969,620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37"/>
        </w:trPr>
        <w:tc>
          <w:tcPr>
            <w:tcW w:w="2440" w:type="dxa"/>
            <w:vAlign w:val="bottom"/>
          </w:tcPr>
          <w:p>
            <w:pPr>
              <w:ind w:left="40"/>
              <w:spacing w:after="0"/>
              <w:rPr>
                <w:sz w:val="20"/>
                <w:szCs w:val="20"/>
                <w:color w:val="auto"/>
              </w:rPr>
            </w:pPr>
            <w:r>
              <w:rPr>
                <w:rFonts w:ascii="Arial" w:cs="Arial" w:eastAsia="Arial" w:hAnsi="Arial"/>
                <w:sz w:val="16"/>
                <w:szCs w:val="16"/>
                <w:color w:val="auto"/>
              </w:rPr>
              <w:t>Total risk based capital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2,961,025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12.78%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2,317,201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1,853,760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2,433,061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BankUnited:</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40" w:type="dxa"/>
            <w:vAlign w:val="bottom"/>
          </w:tcPr>
          <w:p>
            <w:pPr>
              <w:ind w:left="40"/>
              <w:spacing w:after="0"/>
              <w:rPr>
                <w:sz w:val="20"/>
                <w:szCs w:val="20"/>
                <w:color w:val="auto"/>
              </w:rPr>
            </w:pPr>
            <w:r>
              <w:rPr>
                <w:rFonts w:ascii="Arial" w:cs="Arial" w:eastAsia="Arial" w:hAnsi="Arial"/>
                <w:sz w:val="16"/>
                <w:szCs w:val="16"/>
                <w:color w:val="auto"/>
              </w:rPr>
              <w:t>Tier 1 leverage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2,986,945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1,615,496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1,292,397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6"/>
                <w:szCs w:val="16"/>
                <w:color w:val="auto"/>
              </w:rPr>
              <w:t>N/A</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CET1 risk-based capital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2,986,945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1,500,029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1,038,482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1,615,416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37"/>
        </w:trPr>
        <w:tc>
          <w:tcPr>
            <w:tcW w:w="2440" w:type="dxa"/>
            <w:vAlign w:val="bottom"/>
          </w:tcPr>
          <w:p>
            <w:pPr>
              <w:ind w:left="40"/>
              <w:spacing w:after="0"/>
              <w:rPr>
                <w:sz w:val="20"/>
                <w:szCs w:val="20"/>
                <w:color w:val="auto"/>
              </w:rPr>
            </w:pPr>
            <w:r>
              <w:rPr>
                <w:rFonts w:ascii="Arial" w:cs="Arial" w:eastAsia="Arial" w:hAnsi="Arial"/>
                <w:sz w:val="16"/>
                <w:szCs w:val="16"/>
                <w:color w:val="auto"/>
              </w:rPr>
              <w:t>Tier 1 risk-based capital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2,986,945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1,846,190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1,384,642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1,961,576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33"/>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risk based capital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3,104,873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2,307,737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1,846,190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2,423,124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33"/>
        </w:trPr>
        <w:tc>
          <w:tcPr>
            <w:tcW w:w="2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1) There is no Tier 1 leverage ratio component in the definition of a well-capitalized bank holding company.</w:t>
      </w:r>
    </w:p>
    <w:p>
      <w:pPr>
        <w:spacing w:after="0" w:line="16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Beginning January 1, 2019, the Bank and the Company are required to maintain a capital conservation buffer composed of CET1 capital equal to 2.50% of risk-weighted assets above the amounts required to be adequately capitalized in order to avoid limitations on capital distributions, including dividend payments and certain discretionary bonus payments to executive officers.</w:t>
      </w:r>
    </w:p>
    <w:p>
      <w:pPr>
        <w:spacing w:after="0" w:line="34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93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Liquidity</w:t>
      </w:r>
    </w:p>
    <w:p>
      <w:pPr>
        <w:spacing w:after="0" w:line="283"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Liquidity involves our ability to generate adequate funds to support planned interest earning asset growth, meet deposit withdrawal requests, maintain reserve requirements, conduct routine operations, pay dividends, service outstanding debt and meet other contractual obligations.</w:t>
      </w:r>
    </w:p>
    <w:p>
      <w:pPr>
        <w:spacing w:after="0" w:line="20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BankUnited's liquidity needs have been and continue to be met by cash flows from operations, deposit growth, the investment portfolio and FHLB advances.</w:t>
      </w:r>
    </w:p>
    <w:p>
      <w:pPr>
        <w:spacing w:after="0" w:line="22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For the three months ended March 31, 2019 and 2018 net cash provided by operating activities was $88.5 million and $138.1 million, respectively. When compared with the three months ended March 31, 2018, operating cash flows were negatively impacted by approximately $64.5 million as a result of the daily cash settlement of derivative positions. These settlements, which are reported in cash flows from operating activities, are directly affected by changes in market interest rates. Accretion on ACI loans, which is reflected as a non-cash reduction in net income to arrive at operating cash flows, totaled $16.4 million and $82.3 million for the three months ended March 31, 2019 and 2018, respectively. Accretable yield on ACI loans represents the excess of expected future cash flows over the carrying amount of the loans, and is recognized as interest income over the expected lives of the loans. Amounts recorded as accretion are realized in cash as individual loans are paid down or otherwise resolved; however, the timing of cash realization may differ from the timing of income recognition. These cash flows from the repayment of ACI loans, inclusive of amounts that have been accreted through earnings over time, are recognized as cash flows from investing activities in the consolidated statements of cash flows upon receipt.</w:t>
      </w:r>
    </w:p>
    <w:p>
      <w:pPr>
        <w:spacing w:after="0" w:line="23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BankUnited has access to additional liquidity through FHLB advances, other collateralized borrowings, wholesale deposits or the sale of available for sale securities. At March 31, 2019, unencumbered investment securities totaled $6.1 billion. At March 31, 2019, BankUnited had available borrowing capacity at the FHLB of $3.4 billion, unused borrowing capacity at the FRB of $487 million and unused Federal funds lines of credit totaling $85 million. Management also has the ability to exert substantial control over the rate and timing of growth of the loan portfolio, and resultant requirements for liquidity to fund loans.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Continued growth of deposits and loans are the most significant trends expected to impact the Bank’s liquidity in the near term.</w:t>
      </w:r>
    </w:p>
    <w:p>
      <w:pPr>
        <w:spacing w:after="0" w:line="27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ALCO policy has established several measures of liquidity which are monitored monthly by the ALCO and quarterly by the Board of Directors. One primary measure of liquidity monitored by management is the 30 day total liquidity ratio, defined as (a) the sum of cash and cash equivalents, pledgeable securities and a measure of funds expected to be generated by operations over the next 30 days; divided by (b) the sum of potential deposit runoff, liabilities maturing within the 30 day time frame and a measure of funds expected to be used in operations over the next 30 days. BankUnited’s liquidity is considered acceptable if the 30 day total liquidity ratio exceeds 100%. At March 31, 2019, BankUnited’s 30 day total liquidity ratio was 196%. Management also monitors a one year liquidity ratio, defined as (a) cash and cash equivalents, pledgeable securities, unused borrowing capacity at the FHLB, and loans and non-agency securities maturing within one year; divided by (b) forecasted deposit outflows and borrowings maturing within one year. This ratio allows management to monitor liquidity over a longer time horizon. The acceptable threshold established by the ALCO for this liquidity measure is 100%. At March 31, 2019, BankUnited’s one year liquidity ratio was 148%. Additional measures of liquidity regularly monitored by the ALCO include the ratio of wholesale funding to total assets, a measure of available liquidity to volatile liabilities, the ratio of brokered deposits to total deposits, the ratio of FHLB advances to total funding, the percentage of investment securities backed by the U.S. government and government agencies and concentrations of large deposits. At March 31, 2019, BankUnited was within acceptable limits established by the ALCO and the Board of Directors for each of these measures.</w:t>
      </w:r>
    </w:p>
    <w:p>
      <w:pPr>
        <w:spacing w:after="0" w:line="223" w:lineRule="exact"/>
        <w:rPr>
          <w:sz w:val="20"/>
          <w:szCs w:val="20"/>
          <w:color w:val="auto"/>
        </w:rPr>
      </w:pPr>
    </w:p>
    <w:p>
      <w:pPr>
        <w:jc w:val="both"/>
        <w:ind w:right="300" w:firstLine="324"/>
        <w:spacing w:after="0" w:line="279" w:lineRule="auto"/>
        <w:rPr>
          <w:sz w:val="20"/>
          <w:szCs w:val="20"/>
          <w:color w:val="auto"/>
        </w:rPr>
      </w:pPr>
      <w:r>
        <w:rPr>
          <w:rFonts w:ascii="Arial" w:cs="Arial" w:eastAsia="Arial" w:hAnsi="Arial"/>
          <w:sz w:val="17"/>
          <w:szCs w:val="17"/>
          <w:color w:val="auto"/>
        </w:rPr>
        <w:t>As a holding company, BankUnited, Inc. is a corporation separate and apart from its banking subsidiary, and therefore, provides for its own liquidity. BankUnited, Inc.’s main sources of funds include management fees and dividends from the Bank, access to capital markets and, to a lesser extent, its own available for sale securities portfolio. There are regulatory limitations that affect the ability of the Bank to pay dividends to BankUnited, Inc. Management believes that such limitations will not impact our ability to meet our ongoing near-term cash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that our liquidity requirements will continue to be satisfied over the next 12 months through the sources of funds described above.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83"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principal component of the Company’s risk of loss arising from adverse changes in the fair value of financial instruments, or market risk, is interest rate risk, including the risk that assets and liabilities with similar re-pricing characteristics may not reprice at the same time or to the same degree. A primary objective of the Company’s asset/liability management activities is to maximize net interest income, while maintaining acceptable levels of interest rate risk. The ALCO</w:t>
      </w:r>
    </w:p>
    <w:p>
      <w:pPr>
        <w:sectPr>
          <w:pgSz w:w="11900" w:h="16838" w:orient="portrait"/>
          <w:cols w:equalWidth="0" w:num="1">
            <w:col w:w="11420"/>
          </w:cols>
          <w:pgMar w:left="240" w:top="1013" w:right="2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013" w:right="239" w:bottom="1440" w:gutter="0" w:footer="0" w:header="0"/>
          <w:type w:val="continuous"/>
        </w:sectPr>
      </w:pPr>
    </w:p>
    <w:bookmarkStart w:id="67" w:name="page68"/>
    <w:bookmarkEnd w:id="67"/>
    <w:p>
      <w:pPr>
        <w:ind w:right="560"/>
        <w:spacing w:after="0" w:line="277" w:lineRule="auto"/>
        <w:rPr>
          <w:sz w:val="20"/>
          <w:szCs w:val="20"/>
          <w:color w:val="auto"/>
        </w:rPr>
      </w:pPr>
      <w:r>
        <w:rPr>
          <w:rFonts w:ascii="Arial" w:cs="Arial" w:eastAsia="Arial" w:hAnsi="Arial"/>
          <w:sz w:val="18"/>
          <w:szCs w:val="18"/>
          <w:color w:val="auto"/>
        </w:rPr>
        <w:t>is responsible for establishing policies to limit exposure to interest rate risk, and to ensure procedures are established to monitor compliance with these policies. The guidelines established by the ALCO are approved at least annually by the Board of Directors.</w:t>
      </w:r>
    </w:p>
    <w:p>
      <w:pPr>
        <w:spacing w:after="0" w:line="22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Management believes that the simulation of net interest income in different interest rate environments provides the most meaningful measure of interest rate risk. Income simulation analysis is designed to capture not only the potential of all assets and liabilities to mature or reprice, but also the probability that they will do so. Income simulation also attends to the relative interest rate sensitivities of these items, and projects their behavior over an extended period of time. Finally, income simulation permits management to assess the probable effects on the balance sheet not only of changes in interest rates, but also of proposed strategies for responding to them.</w:t>
      </w:r>
    </w:p>
    <w:p>
      <w:pPr>
        <w:spacing w:after="0" w:line="242"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income simulation model analyzes interest rate sensitivity by projecting net interest income over twelve and twenty-four month periods in a most likely rate scenario based on consensus forward interest rate curves versus net interest income in alternative rate scenarios. Simulations are generated based on both static and dynamic balance sheet assumptions. Management continually reviews and refines its interest rate risk management process in response to changes in the interest rate environment and economic climate. Currently, our model projects instantaneous rate shocks of down 200, down 100, plus 100, plus 200, plus 300 and plus 400 basis point shifts as well as flattening and inverted yield curve scenarios. We continually evaluate the scenarios being modeled with a view toward adapting them to changing economic conditions, expectations and trends.</w:t>
      </w:r>
    </w:p>
    <w:p>
      <w:pPr>
        <w:spacing w:after="0" w:line="219"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The Company’s ALCO policy provides that net interest income sensitivity will be considered acceptable if decreases in forecast net interest income, based on a dynamic forecasted balance sheet, in specified rate shock scenarios are within specified percentages of forecast net interest income in the most likely rate scenario over the next twelve months and in the second year. The following table illustrates the acceptable limits as defined by policy and the impact on forecasted net interest income in the indicated scenarios at March 31, 2019 and December 31, 2018:</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Down 200</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Down 100</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Plus 100</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Plus 200</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Plus 300</w:t>
            </w:r>
          </w:p>
        </w:tc>
        <w:tc>
          <w:tcPr>
            <w:tcW w:w="1000" w:type="dxa"/>
            <w:vAlign w:val="bottom"/>
          </w:tcPr>
          <w:p>
            <w:pPr>
              <w:jc w:val="right"/>
              <w:ind w:right="153"/>
              <w:spacing w:after="0"/>
              <w:rPr>
                <w:sz w:val="20"/>
                <w:szCs w:val="20"/>
                <w:color w:val="auto"/>
              </w:rPr>
            </w:pPr>
            <w:r>
              <w:rPr>
                <w:rFonts w:ascii="Arial" w:cs="Arial" w:eastAsia="Arial" w:hAnsi="Arial"/>
                <w:sz w:val="14"/>
                <w:szCs w:val="14"/>
                <w:b w:val="1"/>
                <w:bCs w:val="1"/>
                <w:color w:val="auto"/>
              </w:rPr>
              <w:t>Plus 400</w:t>
            </w:r>
          </w:p>
        </w:tc>
      </w:tr>
      <w:tr>
        <w:trPr>
          <w:trHeight w:val="250"/>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 Limits:</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In year 1</w:t>
            </w: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4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year 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Model Results at March 31, 2019 - increase (decrease):</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 year 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In year 2</w:t>
            </w: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4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Model Results at December 31, 2018 - increase (decrease):</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In year 1</w:t>
            </w: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4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year 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48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Management also simulates changes in EVE in various interest rate environments. The ALCO policy has established parameters of acceptable risk that are defined in terms of the percentage change in EVE from a base scenario under eight rate scenarios, derived by implementing immediate parallel movements of plus and down 100, 200, 300 and 400 basis points from current rates. We did not simulate decreases in interest rates greater than 200 basis points at March 31, 2019 or December 31, 2018 due to the relatively low level of market interest rates. The following table illustrates the acceptable limits as established by ALCO and the modeled change in EVE in the indicated scenarios at March 31, 2019 and December 31, 2018:</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Down 200</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Down 100</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Plus 100</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Plus 200</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Plus 300</w:t>
            </w: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auto"/>
              </w:rPr>
              <w:t>Plus 400</w:t>
            </w:r>
          </w:p>
        </w:tc>
      </w:tr>
      <w:tr>
        <w:trPr>
          <w:trHeight w:val="250"/>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Policy Limits</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Model Results at March 31, 2019 - increase (decrease):</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4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Model Results at December 31, 2018 - increase (decrease):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48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These measures fall within an acceptable level of interest rate risk per the policies established by the ALCO and the Board of Directors. In the event the models indicate an unacceptable level of risk, the Company could undertake a number of actions that would reduce this risk, including the sale or re-positioning of a portion of its investment portfolio, restructuring of borrowings, or the use of derivatives.</w:t>
      </w:r>
    </w:p>
    <w:p>
      <w:pPr>
        <w:spacing w:after="0" w:line="23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Many assumptions were used by the Company to calculate the impact of changes in interest rates, including the change in rates. Actual results may not be similar to the Company’s projections due to several factors including the timing and frequency</w:t>
      </w:r>
    </w:p>
    <w:p>
      <w:pPr>
        <w:sectPr>
          <w:pgSz w:w="11900" w:h="16838" w:orient="portrait"/>
          <w:cols w:equalWidth="0" w:num="1">
            <w:col w:w="11420"/>
          </w:cols>
          <w:pgMar w:left="240" w:top="93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936" w:right="239" w:bottom="1440" w:gutter="0" w:footer="0" w:header="0"/>
          <w:type w:val="continuous"/>
        </w:sectPr>
      </w:pPr>
    </w:p>
    <w:bookmarkStart w:id="68" w:name="page69"/>
    <w:bookmarkEnd w:id="68"/>
    <w:p>
      <w:pPr>
        <w:ind w:right="520"/>
        <w:spacing w:after="0" w:line="277" w:lineRule="auto"/>
        <w:rPr>
          <w:sz w:val="20"/>
          <w:szCs w:val="20"/>
          <w:color w:val="auto"/>
        </w:rPr>
      </w:pPr>
      <w:r>
        <w:rPr>
          <w:rFonts w:ascii="Arial" w:cs="Arial" w:eastAsia="Arial" w:hAnsi="Arial"/>
          <w:sz w:val="18"/>
          <w:szCs w:val="18"/>
          <w:color w:val="auto"/>
        </w:rPr>
        <w:t>of rate changes, market conditions, changes in depositor behavior and the shape of the yield curve. Actual results may also differ due to the Company’s actions, if any, in response to changing rates and conditions.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7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Interest rate swaps are one of the tools we use to manage interest rate risk. These derivative instruments are used to mitigate exposure to changes in interest rates on variable rate borrowings such as FHLB advances and to manage duration of liabilities. These interest rate swaps are designated as cash flow hedging instruments. The fair value of these instruments is included in other assets and other liabilities in our consolidated balance sheets and changes in fair value are reported in accumulated other comprehensive income. At March 31, 2019, outstanding interest rate swaps designated as cash flow hedges had an aggregate notional amount of $2.7 billion. The aggregate fair value of interest rate swaps designated as cash flow hedges included in other assets was $1.4 million.</w:t>
      </w:r>
    </w:p>
    <w:p>
      <w:pPr>
        <w:spacing w:after="0" w:line="247"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Interest rate swaps and caps not designated as cash flow hedges had an aggregate notional amount of $2.3 billion at March 31, 2019. The aggregate fair value of these interest rate swaps and caps included in other assets was $25.5 million and the aggregate fair value included in other liabilities was $16.7 million. These interest rate swaps and caps were entered into as accommodations to certain of our commercial borrowers.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to the consolidated financial statements for additional information about derivative financial instruments.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For more information on contractual obligations and commitments, see Note 12 to the consolidated financial statements, the Borrowings section of this MD&amp;A and Off-Balance Sheet Arrangements in the MD&amp;A of the Company's 2018 Annual Report on Form 10-K.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Company has made no significant changes in its critical accounting policies and significant estimates from those disclosed in the 2018 Annual Report on Form 10-K.</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83"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Tangible book value per common share is a non-GAAP financial measure. Management believes this measure is relevant to understanding the capital position and performance of the Company. Disclosure of this non-GAAP financial measure also provides a meaningful base for comparability to other financial institutions. The following table reconciles the non-GAAP financial measurement of tangible book value per common share to the comparable GAAP financial measurement of book value per common share at March 31, 2019 (in thousands except share and per share data):</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5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2,923,390</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Less: goodwill and other intangible assets</w:t>
            </w:r>
          </w:p>
        </w:tc>
        <w:tc>
          <w:tcPr>
            <w:tcW w:w="5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77,707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stockholders’ equity</w:t>
            </w:r>
          </w:p>
        </w:tc>
        <w:tc>
          <w:tcPr>
            <w:tcW w:w="5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2,845,683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8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issued and outstanding</w:t>
            </w:r>
          </w:p>
        </w:tc>
        <w:tc>
          <w:tcPr>
            <w:tcW w:w="5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98,404,303</w:t>
            </w:r>
          </w:p>
        </w:tc>
        <w:tc>
          <w:tcPr>
            <w:tcW w:w="0" w:type="dxa"/>
            <w:vAlign w:val="bottom"/>
          </w:tcPr>
          <w:p>
            <w:pPr>
              <w:spacing w:after="0"/>
              <w:rPr>
                <w:sz w:val="1"/>
                <w:szCs w:val="1"/>
                <w:color w:val="auto"/>
              </w:rPr>
            </w:pPr>
          </w:p>
        </w:tc>
      </w:tr>
      <w:tr>
        <w:trPr>
          <w:trHeight w:val="318"/>
        </w:trPr>
        <w:tc>
          <w:tcPr>
            <w:tcW w:w="44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Book value per common share</w:t>
            </w:r>
          </w:p>
        </w:tc>
        <w:tc>
          <w:tcPr>
            <w:tcW w:w="5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8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Tangible book value per common share</w:t>
            </w:r>
          </w:p>
        </w:tc>
        <w:tc>
          <w:tcPr>
            <w:tcW w:w="5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jc w:val="right"/>
              <w:ind w:right="3430"/>
              <w:spacing w:after="0"/>
              <w:rPr>
                <w:sz w:val="20"/>
                <w:szCs w:val="20"/>
                <w:color w:val="auto"/>
              </w:rPr>
            </w:pPr>
            <w:r>
              <w:rPr>
                <w:rFonts w:ascii="Arial" w:cs="Arial" w:eastAsia="Arial" w:hAnsi="Arial"/>
                <w:sz w:val="18"/>
                <w:szCs w:val="18"/>
                <w:color w:val="auto"/>
              </w:rPr>
              <w:t>64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48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6" w:right="239" w:bottom="1440" w:gutter="0" w:footer="0" w:header="0"/>
        </w:sectPr>
      </w:pPr>
    </w:p>
    <w:bookmarkStart w:id="69" w:name="page70"/>
    <w:bookmarkEnd w:id="69"/>
    <w:p>
      <w:pPr>
        <w:ind w:right="60" w:firstLine="324"/>
        <w:spacing w:after="0" w:line="257" w:lineRule="auto"/>
        <w:rPr>
          <w:sz w:val="20"/>
          <w:szCs w:val="20"/>
          <w:color w:val="auto"/>
        </w:rPr>
      </w:pPr>
      <w:r>
        <w:rPr>
          <w:rFonts w:ascii="Arial" w:cs="Arial" w:eastAsia="Arial" w:hAnsi="Arial"/>
          <w:sz w:val="18"/>
          <w:szCs w:val="18"/>
          <w:color w:val="auto"/>
        </w:rPr>
        <w:t>Non-loss share diluted earnings per share is a non-GAAP financial measure. Management believes disclosure of this measure provides readers with information that may be useful in understanding the impact of the covered loans and FDIC indemnification asset on the Company’s earnings for periods prior to the termination of the Single Family Shared-Loss Agreement. The following table reconciles this non-GAAP financial measurement to the comparable GAAP financial measurement of diluted earnings per common share for the three months ended March 31, 2018 (in millions except share and per share data, shares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March</w:t>
            </w:r>
          </w:p>
        </w:tc>
      </w:tr>
      <w:tr>
        <w:trPr>
          <w:trHeight w:val="192"/>
        </w:trPr>
        <w:tc>
          <w:tcPr>
            <w:tcW w:w="94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31, 2018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Income (GAAP)</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85.2</w:t>
            </w: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Loss Share Contribution</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9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as reported, minus Loss Share Contribution</w:t>
            </w: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59.4</w:t>
            </w: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excluding Loss Share Contribution:</w:t>
            </w:r>
          </w:p>
        </w:tc>
        <w:tc>
          <w:tcPr>
            <w:tcW w:w="4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Diluted earnings per common share (GAAP)</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0.77</w:t>
            </w: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impact on diluted earnings per common share of Loss Share Contribution (non-GAAP)</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9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Non-loss share diluted earnings per common share (non-GAAP)</w:t>
            </w: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0.54</w:t>
            </w: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Non-loss share diluted earnings per share:</w:t>
            </w:r>
          </w:p>
        </w:tc>
        <w:tc>
          <w:tcPr>
            <w:tcW w:w="4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Loss Share Contribution</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25.8</w:t>
            </w: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for diluted earnings per common share (GAAP)</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105,934</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Impact on diluted earnings per common share of Loss Share Contribution (non-GAAP)</w:t>
            </w: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0.24</w:t>
            </w:r>
          </w:p>
        </w:tc>
      </w:tr>
      <w:tr>
        <w:trPr>
          <w:trHeight w:val="27"/>
        </w:trPr>
        <w:tc>
          <w:tcPr>
            <w:tcW w:w="94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diluted earnings per common share of Loss Share Contribution:</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Loss Share Contribution, net of tax, allocated to participating securities</w:t>
            </w:r>
          </w:p>
        </w:tc>
        <w:tc>
          <w:tcPr>
            <w:tcW w:w="4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for diluted earnings per common share (GAAP)</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105,934</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w w:val="97"/>
              </w:rPr>
              <w:t>Impact on diluted earnings per common share of Loss Share Contribution allocated to participating securities (non-GAAP)</w:t>
            </w: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94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impact on diluted earnings per common share of Loss Share Contribution (non-GAAP)</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r>
      <w:tr>
        <w:trPr>
          <w:trHeight w:val="20"/>
        </w:trPr>
        <w:tc>
          <w:tcPr>
            <w:tcW w:w="9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93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Supplemental Calculations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Calculation of Loss Share Contribution and Non-Loss Share Earnings Per Share</w:t>
      </w:r>
    </w:p>
    <w:p>
      <w:pPr>
        <w:spacing w:after="0" w:line="32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Non-Loss Share Earnings are calculated by removing the total Loss Share Contribution from Net Income. The Loss Share Contribution is a hypothetical presentation of the impact of the covered loans and FDIC indemnification asset on earnings for each respective quarter, reflecting the excess of Loss Share Earnings over hypothetical interest income that could have been earned on alternative assets (in millions except share and per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March</w:t>
            </w:r>
          </w:p>
        </w:tc>
      </w:tr>
      <w:tr>
        <w:trPr>
          <w:trHeight w:val="192"/>
        </w:trPr>
        <w:tc>
          <w:tcPr>
            <w:tcW w:w="94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31, 2018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Income As Reported</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85.2</w:t>
            </w: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Calculation of Loss Share Contribution:</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Interest Income - Covered Loans (Accretion)</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81.3</w:t>
            </w: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FDIC Indemnification Asset</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Loss Share Earnings</w:t>
            </w:r>
          </w:p>
        </w:tc>
        <w:tc>
          <w:tcPr>
            <w:tcW w:w="4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41.0</w:t>
            </w: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Hypothetical interest income on alternate assets </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Loss Share Contribution, pre-tax</w:t>
            </w:r>
          </w:p>
        </w:tc>
        <w:tc>
          <w:tcPr>
            <w:tcW w:w="42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35.1</w:t>
            </w: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taxes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Loss Share Contribution, after tax</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25.8</w:t>
            </w:r>
          </w:p>
        </w:tc>
      </w:tr>
      <w:tr>
        <w:trPr>
          <w:trHeight w:val="27"/>
        </w:trPr>
        <w:tc>
          <w:tcPr>
            <w:tcW w:w="94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9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Net Income as reported, minus Loss Share Contribution</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59.4</w:t>
            </w: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16"/>
        </w:trPr>
        <w:tc>
          <w:tcPr>
            <w:tcW w:w="9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Diluted Earnings Per Common Share, as Reported</w:t>
            </w:r>
          </w:p>
        </w:tc>
        <w:tc>
          <w:tcPr>
            <w:tcW w:w="420" w:type="dxa"/>
            <w:vAlign w:val="bottom"/>
          </w:tcPr>
          <w:p>
            <w:pPr>
              <w:jc w:val="right"/>
              <w:ind w:right="213"/>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0.77</w:t>
            </w: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Loss Share Contribution</w:t>
            </w: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Non-Loss Share Diluted Earnings Per Share</w:t>
            </w: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0.54</w:t>
            </w:r>
          </w:p>
        </w:tc>
      </w:tr>
      <w:tr>
        <w:trPr>
          <w:trHeight w:val="20"/>
        </w:trPr>
        <w:tc>
          <w:tcPr>
            <w:tcW w:w="9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4" w:lineRule="exact"/>
        <w:rPr>
          <w:sz w:val="20"/>
          <w:szCs w:val="20"/>
          <w:color w:val="auto"/>
        </w:rPr>
      </w:pPr>
    </w:p>
    <w:p>
      <w:pPr>
        <w:ind w:left="340" w:right="40" w:hanging="332"/>
        <w:spacing w:after="0" w:line="275"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section entitled "Supplemental Calculations - Calculation of Hypothetical Interest Income on Alternate Assets" below for calculation of these amounts and underlying assumptions.</w:t>
      </w:r>
    </w:p>
    <w:p>
      <w:pPr>
        <w:spacing w:after="0" w:line="10" w:lineRule="exact"/>
        <w:rPr>
          <w:rFonts w:ascii="Arial" w:cs="Arial" w:eastAsia="Arial" w:hAnsi="Arial"/>
          <w:sz w:val="16"/>
          <w:szCs w:val="16"/>
          <w:color w:val="auto"/>
        </w:rPr>
      </w:pPr>
    </w:p>
    <w:p>
      <w:pPr>
        <w:ind w:left="240" w:hanging="232"/>
        <w:spacing w:after="0"/>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assumed marginal tax rate of 26.5% was applied.</w:t>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Calculation of Hypothetical Interest Income on Alternate Assets</w:t>
      </w:r>
    </w:p>
    <w:p>
      <w:pPr>
        <w:spacing w:after="0" w:line="32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hypothetical interest income calculated below reflects the estimated income that may have been earned if the average balance of covered loans and the FDIC indemnification asset were liquidated and the proceeds assumed to be invested in securities at the weighted average yield on the Company’s investment securities portfolio as reported. Historically, cash received from the repayment, sale, or other resolution of covered loans and cash payments received from the FDIC under the terms of the Shared Loss Agreement have generally been reinvested in non-covered loans or investment securities. There is no assurance that the hypothetical results illustrated below would have been achieved if the covered loans and FDIC indemnification asset had been liquidated and proceeds reinvested (dollars in millions):</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9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Three Months Ended March</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31, 2018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gridSpan w:val="3"/>
          </w:tcPr>
          <w:p>
            <w:pPr>
              <w:spacing w:after="0" w:line="202" w:lineRule="exact"/>
              <w:rPr>
                <w:sz w:val="20"/>
                <w:szCs w:val="20"/>
                <w:color w:val="auto"/>
              </w:rPr>
            </w:pPr>
            <w:r>
              <w:rPr>
                <w:rFonts w:ascii="Arial" w:cs="Arial" w:eastAsia="Arial" w:hAnsi="Arial"/>
                <w:sz w:val="17"/>
                <w:szCs w:val="17"/>
                <w:b w:val="1"/>
                <w:bCs w:val="1"/>
                <w:color w:val="auto"/>
              </w:rPr>
              <w:t xml:space="preserve">Average Balances </w:t>
            </w:r>
            <w:r>
              <w:rPr>
                <w:rFonts w:ascii="Arial" w:cs="Arial" w:eastAsia="Arial" w:hAnsi="Arial"/>
                <w:sz w:val="23"/>
                <w:szCs w:val="23"/>
                <w:b w:val="1"/>
                <w:bCs w:val="1"/>
                <w:color w:val="auto"/>
                <w:vertAlign w:val="superscript"/>
              </w:rPr>
              <w:t>(1)</w:t>
            </w: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7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Average Covered Loans</w:t>
            </w: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80" w:type="dxa"/>
            <w:vAlign w:val="bottom"/>
            <w:gridSpan w:val="3"/>
          </w:tcPr>
          <w:p>
            <w:pPr>
              <w:spacing w:after="0"/>
              <w:rPr>
                <w:sz w:val="20"/>
                <w:szCs w:val="20"/>
                <w:color w:val="auto"/>
              </w:rPr>
            </w:pPr>
            <w:r>
              <w:rPr>
                <w:rFonts w:ascii="Arial" w:cs="Arial" w:eastAsia="Arial" w:hAnsi="Arial"/>
                <w:sz w:val="18"/>
                <w:szCs w:val="18"/>
                <w:color w:val="auto"/>
              </w:rPr>
              <w:t>Average FDIC Indemnification Asset</w:t>
            </w:r>
          </w:p>
        </w:tc>
        <w:tc>
          <w:tcPr>
            <w:tcW w:w="440" w:type="dxa"/>
            <w:vAlign w:val="bottom"/>
          </w:tcPr>
          <w:p>
            <w:pPr>
              <w:spacing w:after="0"/>
              <w:rPr>
                <w:sz w:val="21"/>
                <w:szCs w:val="21"/>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90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Average Loss Share Asset</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Yield</w:t>
            </w: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08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7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908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Yield on securities - reported </w:t>
            </w:r>
            <w:r>
              <w:rPr>
                <w:rFonts w:ascii="Arial" w:cs="Arial" w:eastAsia="Arial" w:hAnsi="Arial"/>
                <w:sz w:val="25"/>
                <w:szCs w:val="25"/>
                <w:color w:val="auto"/>
                <w:vertAlign w:val="superscript"/>
              </w:rPr>
              <w:t>(2)</w:t>
            </w: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80" w:type="dxa"/>
            <w:vAlign w:val="bottom"/>
            <w:gridSpan w:val="3"/>
          </w:tcPr>
          <w:p>
            <w:pPr>
              <w:spacing w:after="0"/>
              <w:rPr>
                <w:sz w:val="20"/>
                <w:szCs w:val="20"/>
                <w:color w:val="auto"/>
              </w:rPr>
            </w:pPr>
            <w:r>
              <w:rPr>
                <w:rFonts w:ascii="Arial" w:cs="Arial" w:eastAsia="Arial" w:hAnsi="Arial"/>
                <w:sz w:val="18"/>
                <w:szCs w:val="18"/>
                <w:color w:val="auto"/>
              </w:rPr>
              <w:t>Hypothetical interest income on alternate assets</w:t>
            </w: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3722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Calculated as the simple average of beginning and ending balances reported for each period.</w:t>
      </w:r>
    </w:p>
    <w:p>
      <w:pPr>
        <w:spacing w:after="0" w:line="59" w:lineRule="exact"/>
        <w:rPr>
          <w:rFonts w:ascii="Arial" w:cs="Arial" w:eastAsia="Arial" w:hAnsi="Arial"/>
          <w:sz w:val="16"/>
          <w:szCs w:val="16"/>
          <w:color w:val="auto"/>
        </w:rPr>
      </w:pPr>
    </w:p>
    <w:p>
      <w:pPr>
        <w:ind w:left="240" w:hanging="232"/>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weighted average yield on the Company’s investment securities as reported for the applicable quarter.</w:t>
      </w:r>
    </w:p>
    <w:p>
      <w:pPr>
        <w:sectPr>
          <w:pgSz w:w="11900" w:h="16838" w:orient="portrait"/>
          <w:cols w:equalWidth="0" w:num="1">
            <w:col w:w="11420"/>
          </w:cols>
          <w:pgMar w:left="240" w:top="1013"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013"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See the section entitled “Interest Rate Risk” included in Item 2. “Management’s Discussion and Analysis of Financial Condition and Results of Operations.”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the end of the period covered by this Form 10-Q, we carried out an evaluation under the supervision and with the participation of our management, including the Chief Executive Officer and Chief Financial Officer, of the effectiveness of the design and operation of our disclosure controls and procedures as defined in Exchange Act Rules 13a-15(e) and 15d-15(e). Based upon that evaluation, the Chief Executive Officer and the Chief Financial Officer concluded that our disclosure controls and procedures were effective.</w:t>
      </w:r>
    </w:p>
    <w:p>
      <w:pPr>
        <w:spacing w:after="0" w:line="24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During the quarter ended March 31, 2019, there were no changes in the Company's internal control over financial reporting that materially affected, or are reasonably likely to materially affect, the Company's internal control over financial reporting.</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366"/>
        <w:spacing w:after="0" w:line="286" w:lineRule="auto"/>
        <w:rPr>
          <w:sz w:val="20"/>
          <w:szCs w:val="20"/>
          <w:color w:val="auto"/>
        </w:rPr>
      </w:pPr>
      <w:r>
        <w:rPr>
          <w:rFonts w:ascii="Arial" w:cs="Arial" w:eastAsia="Arial" w:hAnsi="Arial"/>
          <w:sz w:val="17"/>
          <w:szCs w:val="17"/>
          <w:color w:val="auto"/>
        </w:rPr>
        <w:t>The Company is involved as plaintiff or defendant in various legal actions arising in the normal course of business. In the opinion of management, based upon currently available information and the advice of legal counsel, the likelihood is remote that the impact of these proceedings, either individually or in the aggregate, would be material to the Company’s consolidated financial position, results of operations or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60" w:firstLine="366"/>
        <w:spacing w:after="0" w:line="277" w:lineRule="auto"/>
        <w:rPr>
          <w:sz w:val="20"/>
          <w:szCs w:val="20"/>
          <w:color w:val="auto"/>
        </w:rPr>
      </w:pPr>
      <w:r>
        <w:rPr>
          <w:rFonts w:ascii="Arial" w:cs="Arial" w:eastAsia="Arial" w:hAnsi="Arial"/>
          <w:sz w:val="18"/>
          <w:szCs w:val="18"/>
          <w:color w:val="auto"/>
        </w:rPr>
        <w:t>There have been no material changes in the risk factors disclosed by the Company in its 2018 Annual Report on Form 10-K filed with the Securities and Exchange Commission on February 27,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2"/>
              </w:rPr>
              <w:t>Issuer Purchases of Equity Securities</w:t>
            </w: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Total number of</w:t>
            </w:r>
          </w:p>
        </w:tc>
        <w:tc>
          <w:tcPr>
            <w:tcW w:w="2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Maximum number (or approximate</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2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dollar value) of shares that may yet</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480" w:type="dxa"/>
            <w:vAlign w:val="bottom"/>
            <w:vMerge w:val="restart"/>
          </w:tcPr>
          <w:p>
            <w:pPr>
              <w:jc w:val="center"/>
              <w:ind w:right="1801"/>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2140" w:type="dxa"/>
            <w:vAlign w:val="bottom"/>
          </w:tcPr>
          <w:p>
            <w:pPr>
              <w:jc w:val="right"/>
              <w:ind w:right="63"/>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7"/>
              </w:rPr>
              <w:t>shares purchased</w:t>
            </w:r>
            <w:r>
              <w:rPr>
                <w:rFonts w:ascii="Arial" w:cs="Arial" w:eastAsia="Arial" w:hAnsi="Arial"/>
                <w:sz w:val="8"/>
                <w:szCs w:val="8"/>
                <w:b w:val="1"/>
                <w:bCs w:val="1"/>
                <w:color w:val="auto"/>
                <w:w w:val="97"/>
              </w:rPr>
              <w:t>(1)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programs</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23"/>
        </w:trPr>
        <w:tc>
          <w:tcPr>
            <w:tcW w:w="1880" w:type="dxa"/>
            <w:vAlign w:val="bottom"/>
          </w:tcPr>
          <w:p>
            <w:pPr>
              <w:jc w:val="right"/>
              <w:spacing w:after="0"/>
              <w:rPr>
                <w:sz w:val="20"/>
                <w:szCs w:val="20"/>
                <w:color w:val="auto"/>
              </w:rPr>
            </w:pPr>
            <w:r>
              <w:rPr>
                <w:rFonts w:ascii="Arial" w:cs="Arial" w:eastAsia="Arial" w:hAnsi="Arial"/>
                <w:sz w:val="16"/>
                <w:szCs w:val="16"/>
                <w:color w:val="auto"/>
              </w:rPr>
              <w:t>January 1</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 January 31, 2019</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2140" w:type="dxa"/>
            <w:vAlign w:val="bottom"/>
          </w:tcPr>
          <w:p>
            <w:pPr>
              <w:jc w:val="right"/>
              <w:ind w:right="23"/>
              <w:spacing w:after="0"/>
              <w:rPr>
                <w:sz w:val="20"/>
                <w:szCs w:val="20"/>
                <w:color w:val="auto"/>
              </w:rPr>
            </w:pPr>
            <w:r>
              <w:rPr>
                <w:rFonts w:ascii="Arial" w:cs="Arial" w:eastAsia="Arial" w:hAnsi="Arial"/>
                <w:sz w:val="16"/>
                <w:szCs w:val="16"/>
                <w:color w:val="auto"/>
              </w:rPr>
              <w:t>150,000,000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February 1</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February 28, 2019</w:t>
            </w:r>
          </w:p>
        </w:tc>
        <w:tc>
          <w:tcPr>
            <w:tcW w:w="13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689,733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36.06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689,733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125,125,601</w:t>
            </w:r>
          </w:p>
        </w:tc>
        <w:tc>
          <w:tcPr>
            <w:tcW w:w="0" w:type="dxa"/>
            <w:vAlign w:val="bottom"/>
          </w:tcPr>
          <w:p>
            <w:pPr>
              <w:spacing w:after="0"/>
              <w:rPr>
                <w:sz w:val="1"/>
                <w:szCs w:val="1"/>
                <w:color w:val="auto"/>
              </w:rPr>
            </w:pPr>
          </w:p>
        </w:tc>
      </w:tr>
      <w:tr>
        <w:trPr>
          <w:trHeight w:val="237"/>
        </w:trPr>
        <w:tc>
          <w:tcPr>
            <w:tcW w:w="1880" w:type="dxa"/>
            <w:vAlign w:val="bottom"/>
          </w:tcPr>
          <w:p>
            <w:pPr>
              <w:jc w:val="right"/>
              <w:spacing w:after="0"/>
              <w:rPr>
                <w:sz w:val="20"/>
                <w:szCs w:val="20"/>
                <w:color w:val="auto"/>
              </w:rPr>
            </w:pPr>
            <w:r>
              <w:rPr>
                <w:rFonts w:ascii="Arial" w:cs="Arial" w:eastAsia="Arial" w:hAnsi="Arial"/>
                <w:sz w:val="16"/>
                <w:szCs w:val="16"/>
                <w:color w:val="auto"/>
              </w:rPr>
              <w:t>March 1</w:t>
            </w: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 March 31, 2019</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423,352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35.67</w:t>
            </w:r>
          </w:p>
        </w:tc>
        <w:tc>
          <w:tcPr>
            <w:tcW w:w="120" w:type="dxa"/>
            <w:vAlign w:val="bottom"/>
          </w:tcPr>
          <w:p>
            <w:pPr>
              <w:spacing w:after="0"/>
              <w:rPr>
                <w:sz w:val="20"/>
                <w:szCs w:val="20"/>
                <w:color w:val="auto"/>
              </w:rPr>
            </w:pPr>
          </w:p>
        </w:tc>
        <w:tc>
          <w:tcPr>
            <w:tcW w:w="1460" w:type="dxa"/>
            <w:vAlign w:val="bottom"/>
          </w:tcPr>
          <w:p>
            <w:pPr>
              <w:jc w:val="right"/>
              <w:ind w:right="24"/>
              <w:spacing w:after="0"/>
              <w:rPr>
                <w:sz w:val="20"/>
                <w:szCs w:val="20"/>
                <w:color w:val="auto"/>
              </w:rPr>
            </w:pPr>
            <w:r>
              <w:rPr>
                <w:rFonts w:ascii="Arial" w:cs="Arial" w:eastAsia="Arial" w:hAnsi="Arial"/>
                <w:sz w:val="16"/>
                <w:szCs w:val="16"/>
                <w:color w:val="auto"/>
              </w:rPr>
              <w:t>423,352</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2140" w:type="dxa"/>
            <w:vAlign w:val="bottom"/>
          </w:tcPr>
          <w:p>
            <w:pPr>
              <w:jc w:val="right"/>
              <w:ind w:right="23"/>
              <w:spacing w:after="0"/>
              <w:rPr>
                <w:sz w:val="20"/>
                <w:szCs w:val="20"/>
                <w:color w:val="auto"/>
              </w:rPr>
            </w:pPr>
            <w:r>
              <w:rPr>
                <w:rFonts w:ascii="Arial" w:cs="Arial" w:eastAsia="Arial" w:hAnsi="Arial"/>
                <w:sz w:val="16"/>
                <w:szCs w:val="16"/>
                <w:color w:val="auto"/>
              </w:rPr>
              <w:t>110,025,642</w:t>
            </w:r>
          </w:p>
        </w:tc>
        <w:tc>
          <w:tcPr>
            <w:tcW w:w="0" w:type="dxa"/>
            <w:vAlign w:val="bottom"/>
          </w:tcPr>
          <w:p>
            <w:pPr>
              <w:spacing w:after="0"/>
              <w:rPr>
                <w:sz w:val="1"/>
                <w:szCs w:val="1"/>
                <w:color w:val="auto"/>
              </w:rPr>
            </w:pPr>
          </w:p>
        </w:tc>
      </w:tr>
      <w:tr>
        <w:trPr>
          <w:trHeight w:val="33"/>
        </w:trPr>
        <w:tc>
          <w:tcPr>
            <w:tcW w:w="188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8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2"/>
            <w:shd w:val="clear" w:color="auto" w:fill="CCEEFF"/>
          </w:tcPr>
          <w:p>
            <w:pPr>
              <w:jc w:val="center"/>
              <w:ind w:right="2000"/>
              <w:spacing w:after="0"/>
              <w:rPr>
                <w:sz w:val="20"/>
                <w:szCs w:val="20"/>
                <w:color w:val="auto"/>
              </w:rPr>
            </w:pPr>
            <w:r>
              <w:rPr>
                <w:rFonts w:ascii="Arial" w:cs="Arial" w:eastAsia="Arial" w:hAnsi="Arial"/>
                <w:sz w:val="16"/>
                <w:szCs w:val="16"/>
                <w:color w:val="auto"/>
                <w:w w:val="89"/>
              </w:rPr>
              <w:t>Total</w:t>
            </w:r>
          </w:p>
        </w:tc>
        <w:tc>
          <w:tcPr>
            <w:tcW w:w="13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1,113,085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35.91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1,113,085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total number of shares purchased during the periods indicated includes shares purchased as part of a publicly announced program.</w:t>
      </w:r>
    </w:p>
    <w:p>
      <w:pPr>
        <w:spacing w:after="0" w:line="55" w:lineRule="exact"/>
        <w:rPr>
          <w:rFonts w:ascii="Arial" w:cs="Arial" w:eastAsia="Arial" w:hAnsi="Arial"/>
          <w:sz w:val="14"/>
          <w:szCs w:val="14"/>
          <w:color w:val="auto"/>
        </w:rPr>
      </w:pPr>
    </w:p>
    <w:p>
      <w:pPr>
        <w:ind w:left="340" w:right="20" w:hanging="332"/>
        <w:spacing w:after="0" w:line="286"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On January 22, 2019, the Company's Board of Directors authorized a share repurchase program under which the Company may repurchase up to $150 million of its outstanding common stock. No time limit was set for the completion of the share repurchase program. The authorization does not require the Company to acquire any specified number of common shares and may be commenced, suspended or discontinued without prior notice. Under this authorization, $110,025,642 remained available for purchase at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13722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25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360" w:type="dxa"/>
            <w:vAlign w:val="bottom"/>
            <w:gridSpan w:val="2"/>
          </w:tcPr>
          <w:p>
            <w:pPr>
              <w:ind w:left="40"/>
              <w:spacing w:after="0"/>
              <w:rPr>
                <w:rFonts w:ascii="Arial" w:cs="Arial" w:eastAsia="Arial" w:hAnsi="Arial"/>
                <w:sz w:val="18"/>
                <w:szCs w:val="18"/>
                <w:color w:val="0000FF"/>
                <w:w w:val="79"/>
              </w:rPr>
            </w:pPr>
            <w:hyperlink w:anchor="page75">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5"/>
          </w:tcPr>
          <w:p>
            <w:pPr>
              <w:spacing w:after="0"/>
              <w:rPr>
                <w:rFonts w:ascii="Arial" w:cs="Arial" w:eastAsia="Arial" w:hAnsi="Arial"/>
                <w:sz w:val="18"/>
                <w:szCs w:val="18"/>
                <w:color w:val="0000FF"/>
                <w:w w:val="98"/>
              </w:rPr>
            </w:pPr>
            <w:hyperlink w:anchor="page75">
              <w:r>
                <w:rPr>
                  <w:rFonts w:ascii="Arial" w:cs="Arial" w:eastAsia="Arial" w:hAnsi="Arial"/>
                  <w:sz w:val="18"/>
                  <w:szCs w:val="18"/>
                  <w:color w:val="0000FF"/>
                  <w:w w:val="98"/>
                </w:rPr>
                <w:t>Certification of Chief Executive Officer Pursuant to Section 302 of the Sarbanes-Oxley Act of 2002</w:t>
              </w:r>
            </w:hyperlink>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60" w:type="dxa"/>
            <w:vAlign w:val="bottom"/>
            <w:gridSpan w:val="2"/>
          </w:tcPr>
          <w:p>
            <w:pPr>
              <w:ind w:left="40"/>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5"/>
          </w:tcPr>
          <w:p>
            <w:pPr>
              <w:spacing w:after="0"/>
              <w:rPr>
                <w:rFonts w:ascii="Arial" w:cs="Arial" w:eastAsia="Arial" w:hAnsi="Arial"/>
                <w:sz w:val="18"/>
                <w:szCs w:val="18"/>
                <w:color w:val="0000FF"/>
                <w:w w:val="99"/>
              </w:rPr>
            </w:pPr>
            <w:hyperlink w:anchor="page76">
              <w:r>
                <w:rPr>
                  <w:rFonts w:ascii="Arial" w:cs="Arial" w:eastAsia="Arial" w:hAnsi="Arial"/>
                  <w:sz w:val="18"/>
                  <w:szCs w:val="18"/>
                  <w:color w:val="0000FF"/>
                  <w:w w:val="99"/>
                </w:rPr>
                <w:t>Certification of Chief Financial Officer Pursuant to Section 302 of the Sarbanes-Oxley Act of 2002</w:t>
              </w:r>
            </w:hyperlink>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60" w:type="dxa"/>
            <w:vAlign w:val="bottom"/>
            <w:gridSpan w:val="2"/>
          </w:tcPr>
          <w:p>
            <w:pPr>
              <w:ind w:left="40"/>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5"/>
          </w:tcPr>
          <w:p>
            <w:pPr>
              <w:spacing w:after="0"/>
              <w:rPr>
                <w:rFonts w:ascii="Arial" w:cs="Arial" w:eastAsia="Arial" w:hAnsi="Arial"/>
                <w:sz w:val="18"/>
                <w:szCs w:val="18"/>
                <w:color w:val="0000FF"/>
                <w:w w:val="97"/>
              </w:rPr>
            </w:pPr>
            <w:hyperlink w:anchor="page77">
              <w:r>
                <w:rPr>
                  <w:rFonts w:ascii="Arial" w:cs="Arial" w:eastAsia="Arial" w:hAnsi="Arial"/>
                  <w:sz w:val="18"/>
                  <w:szCs w:val="18"/>
                  <w:color w:val="0000FF"/>
                  <w:w w:val="97"/>
                </w:rPr>
                <w:t>Certification of Chief Executive Officer Pursuant to 18 U.S.C. Section 1350 as Adopted Pursuant to</w:t>
              </w:r>
            </w:hyperlink>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77">
              <w:r>
                <w:rPr>
                  <w:rFonts w:ascii="Arial" w:cs="Arial" w:eastAsia="Arial" w:hAnsi="Arial"/>
                  <w:sz w:val="18"/>
                  <w:szCs w:val="18"/>
                  <w:color w:val="0000FF"/>
                  <w:w w:val="90"/>
                </w:rPr>
                <w:t>Section 906 of the Sarbanes-Oxley Act of 2002</w:t>
              </w:r>
            </w:hyperlink>
          </w:p>
        </w:tc>
        <w:tc>
          <w:tcPr>
            <w:tcW w:w="3780" w:type="dxa"/>
            <w:vAlign w:val="bottom"/>
            <w:tcBorders>
              <w:top w:val="single" w:sz="8" w:color="0000FF"/>
            </w:tcBorders>
            <w:gridSpan w:val="2"/>
          </w:tcPr>
          <w:p>
            <w:pPr>
              <w:spacing w:after="0"/>
              <w:rPr>
                <w:sz w:val="17"/>
                <w:szCs w:val="17"/>
                <w:color w:val="auto"/>
              </w:rPr>
            </w:pPr>
          </w:p>
        </w:tc>
        <w:tc>
          <w:tcPr>
            <w:tcW w:w="520" w:type="dxa"/>
            <w:vAlign w:val="bottom"/>
            <w:gridSpan w:val="2"/>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360" w:type="dxa"/>
            <w:vAlign w:val="bottom"/>
            <w:gridSpan w:val="2"/>
          </w:tcPr>
          <w:p>
            <w:pPr>
              <w:ind w:left="40"/>
              <w:spacing w:after="0"/>
              <w:rPr>
                <w:rFonts w:ascii="Arial" w:cs="Arial" w:eastAsia="Arial" w:hAnsi="Arial"/>
                <w:sz w:val="18"/>
                <w:szCs w:val="18"/>
                <w:color w:val="0000FF"/>
                <w:w w:val="79"/>
              </w:rPr>
            </w:pPr>
            <w:hyperlink w:anchor="page78">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5"/>
          </w:tcPr>
          <w:p>
            <w:pPr>
              <w:spacing w:after="0"/>
              <w:rPr>
                <w:rFonts w:ascii="Arial" w:cs="Arial" w:eastAsia="Arial" w:hAnsi="Arial"/>
                <w:sz w:val="18"/>
                <w:szCs w:val="18"/>
                <w:color w:val="0000FF"/>
                <w:w w:val="98"/>
              </w:rPr>
            </w:pPr>
            <w:hyperlink w:anchor="page78">
              <w:r>
                <w:rPr>
                  <w:rFonts w:ascii="Arial" w:cs="Arial" w:eastAsia="Arial" w:hAnsi="Arial"/>
                  <w:sz w:val="18"/>
                  <w:szCs w:val="18"/>
                  <w:color w:val="0000FF"/>
                  <w:w w:val="98"/>
                </w:rPr>
                <w:t>Certification of Chief Financial Officer Pursuant to 18 U.S.C. Section 1350 as Adopted Pursuant to</w:t>
              </w:r>
            </w:hyperlink>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78">
              <w:r>
                <w:rPr>
                  <w:rFonts w:ascii="Arial" w:cs="Arial" w:eastAsia="Arial" w:hAnsi="Arial"/>
                  <w:sz w:val="18"/>
                  <w:szCs w:val="18"/>
                  <w:color w:val="0000FF"/>
                  <w:w w:val="90"/>
                </w:rPr>
                <w:t>Section 906 of the Sarbanes-Oxley Act of 2002</w:t>
              </w:r>
            </w:hyperlink>
          </w:p>
        </w:tc>
        <w:tc>
          <w:tcPr>
            <w:tcW w:w="3780" w:type="dxa"/>
            <w:vAlign w:val="bottom"/>
            <w:tcBorders>
              <w:top w:val="single" w:sz="8" w:color="0000FF"/>
            </w:tcBorders>
            <w:gridSpan w:val="2"/>
          </w:tcPr>
          <w:p>
            <w:pPr>
              <w:spacing w:after="0"/>
              <w:rPr>
                <w:sz w:val="17"/>
                <w:szCs w:val="17"/>
                <w:color w:val="auto"/>
              </w:rPr>
            </w:pPr>
          </w:p>
        </w:tc>
        <w:tc>
          <w:tcPr>
            <w:tcW w:w="520" w:type="dxa"/>
            <w:vAlign w:val="bottom"/>
            <w:gridSpan w:val="2"/>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0"/>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w w:val="92"/>
              </w:rPr>
              <w:t>The instance document does not appear in the interactive data file because its XBRL tags are embedded</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rPr>
              <w:t>XBRL Taxonomy Extension Schema</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w:t>
            </w:r>
          </w:p>
        </w:tc>
        <w:tc>
          <w:tcPr>
            <w:tcW w:w="25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756"/>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60" w:type="dxa"/>
            <w:vAlign w:val="bottom"/>
            <w:gridSpan w:val="3"/>
          </w:tcPr>
          <w:p>
            <w:pPr>
              <w:jc w:val="right"/>
              <w:ind w:right="2288"/>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796" w:right="259" w:bottom="1440" w:gutter="0" w:footer="0" w:header="0"/>
        </w:sectPr>
      </w:pPr>
    </w:p>
    <w:bookmarkStart w:id="73" w:name="page74"/>
    <w:bookmarkEnd w:id="73"/>
    <w:p>
      <w:pPr>
        <w:ind w:left="5340"/>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7th day of May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Rajinder 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06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Rajinder P. Singh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Leslie N.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06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Leslie N. Lunak</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600"/>
          </w:cols>
          <w:pgMar w:left="240" w:top="931" w:right="10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Rajinder P. Singh,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BankUnited,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Rajinder 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Rajinder P. Singh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Date: May 7, 2019</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Leslie N. Lunak,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BankUnited,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Leslie N.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Leslie N. Lunak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Date: May 7, 2019</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In connection with the Quarterly Report of BankUnited, Inc. (the “Company”) on Form 10-Q for the quarter ended March 31, 2019, as filed with the Securities and Exchange Commission on the date hereof (the “Report”), I, Rajinder P. Singh, as Chief Executive Officer of the Company, certify, to the best of my knowledge, pursuant to 18 U.S.C.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Rajinder P.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Rajinder P. Singh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May 7, 2019</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connection with the Quarterly Report of BankUnited, Inc. (the “Company”) on Form 10-Q for the year ended March 31, 2019, as filed with the Securities and Exchange Commission on the date hereof (the “Report”), I, Leslie N. Lunak, as Chief Financial Officer of the Company, certify, to the best of my knowledge, pursuant to 18 U.S.C.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Leslie N. Lunak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Leslie N. Lunak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Chief Financial Officer</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Date: May 7,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lowerRoman"/>
      <w:start w:val="2"/>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2019-12-28T13:09:38Z</dcterms:created>
  <dcterms:modified xsi:type="dcterms:W3CDTF">2019-12-28T13:09:38Z</dcterms:modified>
</cp:coreProperties>
</file>