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Blanca Tere</w:t>
              </w:r>
            </w:hyperlink>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BankUnited,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BKU</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0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BANKUNITED,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05/15/2019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rPr>
              <w:t>14817 OAK LANE</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0000FF"/>
              </w:rPr>
              <w:t>MIAMI LAKES FL</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33016</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00" w:type="dxa"/>
            <w:vAlign w:val="bottom"/>
          </w:tcPr>
          <w:p>
            <w:pPr>
              <w:spacing w:after="0"/>
              <w:rPr>
                <w:sz w:val="24"/>
                <w:szCs w:val="2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9"/>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2"/>
              </w:rPr>
              <w:t>Common Stock, par value $0.01 per share</w:t>
            </w:r>
          </w:p>
        </w:tc>
        <w:tc>
          <w:tcPr>
            <w:tcW w:w="128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05/15/2019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2,045</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8,045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9"/>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2,045 restricted shares issued pursuant to the terms of the BankUnited, Inc. 2014 Omnibus Equity Incentive Plan. The restricted shares have a grant date of May 15, 2019, and will vest in full on the earlier of the first anniversary of the date of grant or the date of the issuer's next annual meeting of stockholders, subject to the reporting person's continued service as a director through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Susan Greenfield,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05/16/2019</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6848" TargetMode="External"/><Relationship Id="rId13"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2019-12-24T04:41:52Z</dcterms:created>
  <dcterms:modified xsi:type="dcterms:W3CDTF">2019-12-24T04:41:52Z</dcterms:modified>
</cp:coreProperties>
</file>