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227266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72665" cy="240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5660"/>
        <w:spacing w:after="0"/>
        <w:rPr>
          <w:sz w:val="20"/>
          <w:szCs w:val="20"/>
          <w:color w:val="auto"/>
        </w:rPr>
      </w:pPr>
      <w:r>
        <w:rPr>
          <w:rFonts w:ascii="Arial" w:cs="Arial" w:eastAsia="Arial" w:hAnsi="Arial"/>
          <w:sz w:val="18"/>
          <w:szCs w:val="18"/>
          <w:color w:val="auto"/>
        </w:rPr>
        <w:t>June 11</w:t>
      </w:r>
      <w:r>
        <w:rPr>
          <w:rFonts w:ascii="Arial" w:cs="Arial" w:eastAsia="Arial" w:hAnsi="Arial"/>
          <w:sz w:val="16"/>
          <w:szCs w:val="16"/>
          <w:color w:val="auto"/>
        </w:rPr>
        <w:t>, 2013</w:t>
      </w:r>
    </w:p>
    <w:p>
      <w:pPr>
        <w:spacing w:after="0" w:line="56"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VIA EDGAR</w:t>
      </w:r>
    </w:p>
    <w:p>
      <w:pPr>
        <w:spacing w:after="0"/>
        <w:rPr>
          <w:sz w:val="20"/>
          <w:szCs w:val="20"/>
          <w:color w:val="auto"/>
        </w:rPr>
      </w:pPr>
      <w:r>
        <w:rPr>
          <w:rFonts w:ascii="Arial" w:cs="Arial" w:eastAsia="Arial" w:hAnsi="Arial"/>
          <w:sz w:val="20"/>
          <w:szCs w:val="20"/>
          <w:color w:val="auto"/>
        </w:rPr>
        <w:t>Securities and Exchange Commission</w:t>
      </w: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tabs>
          <w:tab w:leader="none" w:pos="60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18"/>
          <w:szCs w:val="18"/>
          <w:color w:val="auto"/>
        </w:rPr>
        <w:t>Sharon Blume, Assistant Chief Accountant</w:t>
      </w:r>
    </w:p>
    <w:p>
      <w:pPr>
        <w:sectPr>
          <w:pgSz w:w="11900" w:h="16838" w:orient="portrait"/>
          <w:cols w:equalWidth="0" w:num="1">
            <w:col w:w="11360"/>
          </w:cols>
          <w:pgMar w:left="240" w:top="1440" w:right="299" w:bottom="1440" w:gutter="0" w:footer="0" w:header="0"/>
        </w:sectPr>
      </w:pPr>
    </w:p>
    <w:p>
      <w:pPr>
        <w:spacing w:after="0" w:line="221" w:lineRule="exact"/>
        <w:rPr>
          <w:sz w:val="24"/>
          <w:szCs w:val="24"/>
          <w:color w:val="auto"/>
        </w:rPr>
      </w:pPr>
    </w:p>
    <w:p>
      <w:pPr>
        <w:ind w:left="1700"/>
        <w:spacing w:after="0"/>
        <w:rPr>
          <w:sz w:val="20"/>
          <w:szCs w:val="20"/>
          <w:color w:val="auto"/>
        </w:rPr>
      </w:pPr>
      <w:r>
        <w:rPr>
          <w:rFonts w:ascii="Arial" w:cs="Arial" w:eastAsia="Arial" w:hAnsi="Arial"/>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BankUnited, Inc.</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10-K for Fiscal Year Ended December 31, 2012</w:t>
      </w:r>
    </w:p>
    <w:p>
      <w:pPr>
        <w:spacing w:after="0" w:line="22"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Filed February 25, 2013</w:t>
      </w:r>
    </w:p>
    <w:p>
      <w:pPr>
        <w:spacing w:after="0"/>
        <w:rPr>
          <w:sz w:val="20"/>
          <w:szCs w:val="20"/>
          <w:color w:val="auto"/>
        </w:rPr>
      </w:pPr>
      <w:r>
        <w:rPr>
          <w:rFonts w:ascii="Arial" w:cs="Arial" w:eastAsia="Arial" w:hAnsi="Arial"/>
          <w:sz w:val="20"/>
          <w:szCs w:val="20"/>
          <w:b w:val="1"/>
          <w:bCs w:val="1"/>
          <w:color w:val="auto"/>
        </w:rPr>
        <w:t>Response dated May 16, 2013</w:t>
      </w:r>
    </w:p>
    <w:p>
      <w:pPr>
        <w:spacing w:after="0"/>
        <w:rPr>
          <w:sz w:val="20"/>
          <w:szCs w:val="20"/>
          <w:color w:val="auto"/>
        </w:rPr>
      </w:pPr>
      <w:r>
        <w:rPr>
          <w:rFonts w:ascii="Arial" w:cs="Arial" w:eastAsia="Arial" w:hAnsi="Arial"/>
          <w:sz w:val="20"/>
          <w:szCs w:val="20"/>
          <w:b w:val="1"/>
          <w:bCs w:val="1"/>
          <w:color w:val="auto"/>
        </w:rPr>
        <w:t>File No. 001-35039</w:t>
      </w:r>
    </w:p>
    <w:p>
      <w:pPr>
        <w:spacing w:after="0" w:line="200" w:lineRule="exact"/>
        <w:rPr>
          <w:sz w:val="24"/>
          <w:szCs w:val="24"/>
          <w:color w:val="auto"/>
        </w:rPr>
      </w:pPr>
    </w:p>
    <w:p>
      <w:pPr>
        <w:sectPr>
          <w:pgSz w:w="11900" w:h="16838" w:orient="portrait"/>
          <w:cols w:equalWidth="0" w:num="2">
            <w:col w:w="2000" w:space="540"/>
            <w:col w:w="8820"/>
          </w:cols>
          <w:pgMar w:left="240" w:top="1440" w:right="29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20"/>
          <w:szCs w:val="20"/>
          <w:color w:val="auto"/>
        </w:rPr>
        <w:t>Dear Ms. Blume:</w:t>
      </w:r>
    </w:p>
    <w:p>
      <w:pPr>
        <w:spacing w:after="0" w:line="229" w:lineRule="exact"/>
        <w:rPr>
          <w:sz w:val="24"/>
          <w:szCs w:val="24"/>
          <w:color w:val="auto"/>
        </w:rPr>
      </w:pPr>
    </w:p>
    <w:p>
      <w:pPr>
        <w:ind w:left="1300"/>
        <w:spacing w:after="0"/>
        <w:rPr>
          <w:sz w:val="20"/>
          <w:szCs w:val="20"/>
          <w:color w:val="auto"/>
        </w:rPr>
      </w:pPr>
      <w:r>
        <w:rPr>
          <w:rFonts w:ascii="Arial" w:cs="Arial" w:eastAsia="Arial" w:hAnsi="Arial"/>
          <w:sz w:val="20"/>
          <w:szCs w:val="20"/>
          <w:color w:val="auto"/>
        </w:rPr>
        <w:t>Reference is made to your letter dated May 31, 2013.</w:t>
      </w:r>
    </w:p>
    <w:p>
      <w:pPr>
        <w:spacing w:after="0" w:line="243" w:lineRule="exact"/>
        <w:rPr>
          <w:sz w:val="24"/>
          <w:szCs w:val="24"/>
          <w:color w:val="auto"/>
        </w:rPr>
      </w:pPr>
    </w:p>
    <w:p>
      <w:pPr>
        <w:ind w:firstLine="1297"/>
        <w:spacing w:after="0" w:line="250" w:lineRule="auto"/>
        <w:rPr>
          <w:sz w:val="20"/>
          <w:szCs w:val="20"/>
          <w:color w:val="auto"/>
        </w:rPr>
      </w:pPr>
      <w:r>
        <w:rPr>
          <w:rFonts w:ascii="Arial" w:cs="Arial" w:eastAsia="Arial" w:hAnsi="Arial"/>
          <w:sz w:val="20"/>
          <w:szCs w:val="20"/>
          <w:color w:val="auto"/>
        </w:rPr>
        <w:t>In accordance with the instructions provided by the staff of the U.S. Securities and Exchange Commission, BankUnited, Inc. is in the process of preparing responses to each item set forth in the letter and anticipates it will submit a response letter no later than June 24, 2013.</w:t>
      </w:r>
    </w:p>
    <w:p>
      <w:pPr>
        <w:spacing w:after="0" w:line="213" w:lineRule="exact"/>
        <w:rPr>
          <w:sz w:val="24"/>
          <w:szCs w:val="24"/>
          <w:color w:val="auto"/>
        </w:rPr>
      </w:pPr>
    </w:p>
    <w:p>
      <w:pPr>
        <w:ind w:left="1300"/>
        <w:spacing w:after="0"/>
        <w:rPr>
          <w:sz w:val="20"/>
          <w:szCs w:val="20"/>
          <w:color w:val="auto"/>
        </w:rPr>
      </w:pPr>
      <w:r>
        <w:rPr>
          <w:rFonts w:ascii="Arial" w:cs="Arial" w:eastAsia="Arial" w:hAnsi="Arial"/>
          <w:sz w:val="19"/>
          <w:szCs w:val="19"/>
          <w:color w:val="auto"/>
        </w:rPr>
        <w:t>Please telephone the undersigned at (786) 313-1698 if you have any questions or require any additional information.</w:t>
      </w:r>
    </w:p>
    <w:p>
      <w:pPr>
        <w:spacing w:after="0" w:line="200" w:lineRule="exact"/>
        <w:rPr>
          <w:sz w:val="24"/>
          <w:szCs w:val="24"/>
          <w:color w:val="auto"/>
        </w:rPr>
      </w:pPr>
    </w:p>
    <w:p>
      <w:pPr>
        <w:spacing w:after="0" w:line="293" w:lineRule="exact"/>
        <w:rPr>
          <w:sz w:val="24"/>
          <w:szCs w:val="24"/>
          <w:color w:val="auto"/>
        </w:rPr>
      </w:pPr>
    </w:p>
    <w:p>
      <w:pPr>
        <w:ind w:left="5700"/>
        <w:spacing w:after="0"/>
        <w:rPr>
          <w:sz w:val="20"/>
          <w:szCs w:val="20"/>
          <w:color w:val="auto"/>
        </w:rPr>
      </w:pPr>
      <w:r>
        <w:rPr>
          <w:rFonts w:ascii="Arial" w:cs="Arial" w:eastAsia="Arial" w:hAnsi="Arial"/>
          <w:sz w:val="22"/>
          <w:szCs w:val="22"/>
          <w:color w:val="auto"/>
        </w:rPr>
        <w:t>Very truly yours,</w:t>
      </w:r>
    </w:p>
    <w:p>
      <w:pPr>
        <w:spacing w:after="0" w:line="211" w:lineRule="exact"/>
        <w:rPr>
          <w:sz w:val="24"/>
          <w:szCs w:val="24"/>
          <w:color w:val="auto"/>
        </w:rPr>
      </w:pPr>
    </w:p>
    <w:p>
      <w:pPr>
        <w:ind w:left="5700"/>
        <w:spacing w:after="0"/>
        <w:rPr>
          <w:sz w:val="20"/>
          <w:szCs w:val="20"/>
          <w:color w:val="auto"/>
        </w:rPr>
      </w:pPr>
      <w:r>
        <w:rPr>
          <w:rFonts w:ascii="Arial" w:cs="Arial" w:eastAsia="Arial" w:hAnsi="Arial"/>
          <w:sz w:val="20"/>
          <w:szCs w:val="20"/>
          <w:color w:val="auto"/>
        </w:rPr>
        <w:t>/s/ Leslie Lunak</w:t>
      </w:r>
    </w:p>
    <w:p>
      <w:pPr>
        <w:spacing w:after="0" w:line="216" w:lineRule="exact"/>
        <w:rPr>
          <w:sz w:val="24"/>
          <w:szCs w:val="24"/>
          <w:color w:val="auto"/>
        </w:rPr>
      </w:pPr>
    </w:p>
    <w:p>
      <w:pPr>
        <w:ind w:left="5700"/>
        <w:spacing w:after="0"/>
        <w:rPr>
          <w:sz w:val="20"/>
          <w:szCs w:val="20"/>
          <w:color w:val="auto"/>
        </w:rPr>
      </w:pPr>
      <w:r>
        <w:rPr>
          <w:rFonts w:ascii="Arial" w:cs="Arial" w:eastAsia="Arial" w:hAnsi="Arial"/>
          <w:sz w:val="20"/>
          <w:szCs w:val="20"/>
          <w:color w:val="auto"/>
        </w:rPr>
        <w:t>Leslie Lunak</w:t>
      </w:r>
    </w:p>
    <w:p>
      <w:pPr>
        <w:spacing w:after="0" w:line="16" w:lineRule="exact"/>
        <w:rPr>
          <w:sz w:val="24"/>
          <w:szCs w:val="24"/>
          <w:color w:val="auto"/>
        </w:rPr>
      </w:pPr>
    </w:p>
    <w:p>
      <w:pPr>
        <w:ind w:left="5700"/>
        <w:spacing w:after="0"/>
        <w:rPr>
          <w:sz w:val="20"/>
          <w:szCs w:val="20"/>
          <w:color w:val="auto"/>
        </w:rPr>
      </w:pPr>
      <w:r>
        <w:rPr>
          <w:rFonts w:ascii="Arial" w:cs="Arial" w:eastAsia="Arial" w:hAnsi="Arial"/>
          <w:sz w:val="20"/>
          <w:szCs w:val="20"/>
          <w:color w:val="auto"/>
        </w:rPr>
        <w:t>Chief Financial Officer</w:t>
      </w:r>
    </w:p>
    <w:p>
      <w:pPr>
        <w:spacing w:after="0" w:line="200" w:lineRule="exact"/>
        <w:rPr>
          <w:sz w:val="24"/>
          <w:szCs w:val="24"/>
          <w:color w:val="auto"/>
        </w:rPr>
      </w:pPr>
    </w:p>
    <w:p>
      <w:pPr>
        <w:spacing w:after="0" w:line="2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Richard B. Aftanas, Dwight S. Yoo, Skadden, Arps, Slate, Meagher &amp; Flom LLP</w:t>
      </w:r>
    </w:p>
    <w:sectPr>
      <w:pgSz w:w="11900" w:h="16838" w:orient="portrait"/>
      <w:cols w:equalWidth="0" w:num="1">
        <w:col w:w="11360"/>
      </w:cols>
      <w:pgMar w:left="240" w:top="1440"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2019-12-07T22:47:03Z</dcterms:created>
  <dcterms:modified xsi:type="dcterms:W3CDTF">2019-12-07T22:47:03Z</dcterms:modified>
</cp:coreProperties>
</file>