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3660" w:type="dxa"/>
        <w:tblCellMar>
          <w:top w:w="0" w:type="dxa"/>
          <w:left w:w="0" w:type="dxa"/>
          <w:bottom w:w="0" w:type="dxa"/>
          <w:right w:w="0" w:type="dxa"/>
        </w:tblCellMar>
      </w:tblPr>
      <w:tr>
        <w:trPr>
          <w:trHeight w:val="216"/>
        </w:trPr>
        <w:tc>
          <w:tcPr>
            <w:tcW w:w="4820" w:type="dxa"/>
            <w:vAlign w:val="bottom"/>
          </w:tcPr>
          <w:p>
            <w:pPr>
              <w:jc w:val="center"/>
              <w:ind w:right="610"/>
              <w:spacing w:after="0"/>
              <w:rPr>
                <w:sz w:val="20"/>
                <w:szCs w:val="20"/>
                <w:color w:val="auto"/>
              </w:rPr>
            </w:pPr>
            <w:r>
              <w:rPr>
                <w:rFonts w:ascii="Arial" w:cs="Arial" w:eastAsia="Arial" w:hAnsi="Arial"/>
                <w:sz w:val="18"/>
                <w:szCs w:val="18"/>
                <w:color w:val="auto"/>
                <w:w w:val="97"/>
              </w:rPr>
              <w:t>SKADDEN, ARPS, SLATE, MEAGHER &amp; FLOM LLP</w:t>
            </w:r>
          </w:p>
        </w:tc>
        <w:tc>
          <w:tcPr>
            <w:tcW w:w="2880" w:type="dxa"/>
            <w:vAlign w:val="bottom"/>
          </w:tcPr>
          <w:p>
            <w:pPr>
              <w:spacing w:after="0"/>
              <w:rPr>
                <w:sz w:val="18"/>
                <w:szCs w:val="18"/>
                <w:color w:val="auto"/>
              </w:rPr>
            </w:pPr>
          </w:p>
        </w:tc>
      </w:tr>
      <w:tr>
        <w:trPr>
          <w:trHeight w:val="216"/>
        </w:trPr>
        <w:tc>
          <w:tcPr>
            <w:tcW w:w="4820" w:type="dxa"/>
            <w:vAlign w:val="bottom"/>
          </w:tcPr>
          <w:p>
            <w:pPr>
              <w:jc w:val="center"/>
              <w:ind w:right="610"/>
              <w:spacing w:after="0"/>
              <w:rPr>
                <w:sz w:val="20"/>
                <w:szCs w:val="20"/>
                <w:color w:val="auto"/>
              </w:rPr>
            </w:pPr>
            <w:r>
              <w:rPr>
                <w:rFonts w:ascii="Arial" w:cs="Arial" w:eastAsia="Arial" w:hAnsi="Arial"/>
                <w:sz w:val="18"/>
                <w:szCs w:val="18"/>
                <w:color w:val="auto"/>
                <w:w w:val="95"/>
              </w:rPr>
              <w:t>FOUR TIMES SQUARE</w:t>
            </w:r>
          </w:p>
        </w:tc>
        <w:tc>
          <w:tcPr>
            <w:tcW w:w="2880" w:type="dxa"/>
            <w:vAlign w:val="bottom"/>
          </w:tcPr>
          <w:p>
            <w:pPr>
              <w:jc w:val="center"/>
              <w:ind w:left="630"/>
              <w:spacing w:after="0"/>
              <w:rPr>
                <w:sz w:val="20"/>
                <w:szCs w:val="20"/>
                <w:color w:val="auto"/>
              </w:rPr>
            </w:pPr>
            <w:r>
              <w:rPr>
                <w:rFonts w:ascii="Arial" w:cs="Arial" w:eastAsia="Arial" w:hAnsi="Arial"/>
                <w:sz w:val="18"/>
                <w:szCs w:val="18"/>
                <w:color w:val="auto"/>
                <w:w w:val="97"/>
              </w:rPr>
              <w:t>FIRM/AFFILIATE OFFICES</w:t>
            </w:r>
          </w:p>
        </w:tc>
      </w:tr>
      <w:tr>
        <w:trPr>
          <w:trHeight w:val="230"/>
        </w:trPr>
        <w:tc>
          <w:tcPr>
            <w:tcW w:w="4820" w:type="dxa"/>
            <w:vAlign w:val="bottom"/>
          </w:tcPr>
          <w:p>
            <w:pPr>
              <w:jc w:val="center"/>
              <w:ind w:right="610"/>
              <w:spacing w:after="0"/>
              <w:rPr>
                <w:sz w:val="20"/>
                <w:szCs w:val="20"/>
                <w:color w:val="auto"/>
              </w:rPr>
            </w:pPr>
            <w:r>
              <w:rPr>
                <w:rFonts w:ascii="Arial" w:cs="Arial" w:eastAsia="Arial" w:hAnsi="Arial"/>
                <w:sz w:val="18"/>
                <w:szCs w:val="18"/>
                <w:color w:val="auto"/>
                <w:w w:val="94"/>
              </w:rPr>
              <w:t>NEW YORK 10036-6522</w:t>
            </w:r>
          </w:p>
        </w:tc>
        <w:tc>
          <w:tcPr>
            <w:tcW w:w="2880" w:type="dxa"/>
            <w:vAlign w:val="bottom"/>
          </w:tcPr>
          <w:p>
            <w:pPr>
              <w:spacing w:after="0"/>
              <w:rPr>
                <w:sz w:val="20"/>
                <w:szCs w:val="20"/>
                <w:color w:val="auto"/>
              </w:rPr>
            </w:pPr>
          </w:p>
        </w:tc>
      </w:tr>
      <w:tr>
        <w:trPr>
          <w:trHeight w:val="418"/>
        </w:trPr>
        <w:tc>
          <w:tcPr>
            <w:tcW w:w="4820" w:type="dxa"/>
            <w:vAlign w:val="bottom"/>
          </w:tcPr>
          <w:p>
            <w:pPr>
              <w:jc w:val="center"/>
              <w:ind w:right="610"/>
              <w:spacing w:after="0"/>
              <w:rPr>
                <w:sz w:val="20"/>
                <w:szCs w:val="20"/>
                <w:color w:val="auto"/>
              </w:rPr>
            </w:pPr>
            <w:r>
              <w:rPr>
                <w:rFonts w:ascii="Arial" w:cs="Arial" w:eastAsia="Arial" w:hAnsi="Arial"/>
                <w:sz w:val="18"/>
                <w:szCs w:val="18"/>
                <w:color w:val="auto"/>
                <w:w w:val="93"/>
              </w:rPr>
              <w:t>TEL: (212) 735-3000</w:t>
            </w:r>
          </w:p>
        </w:tc>
        <w:tc>
          <w:tcPr>
            <w:tcW w:w="2880" w:type="dxa"/>
            <w:vAlign w:val="bottom"/>
          </w:tcPr>
          <w:p>
            <w:pPr>
              <w:jc w:val="center"/>
              <w:ind w:left="630"/>
              <w:spacing w:after="0"/>
              <w:rPr>
                <w:sz w:val="20"/>
                <w:szCs w:val="20"/>
                <w:color w:val="auto"/>
              </w:rPr>
            </w:pPr>
            <w:r>
              <w:rPr>
                <w:rFonts w:ascii="Arial" w:cs="Arial" w:eastAsia="Arial" w:hAnsi="Arial"/>
                <w:sz w:val="18"/>
                <w:szCs w:val="18"/>
                <w:color w:val="auto"/>
                <w:w w:val="94"/>
              </w:rPr>
              <w:t>BOSTON</w:t>
            </w:r>
          </w:p>
        </w:tc>
      </w:tr>
      <w:tr>
        <w:trPr>
          <w:trHeight w:val="216"/>
        </w:trPr>
        <w:tc>
          <w:tcPr>
            <w:tcW w:w="4820" w:type="dxa"/>
            <w:vAlign w:val="bottom"/>
          </w:tcPr>
          <w:p>
            <w:pPr>
              <w:jc w:val="center"/>
              <w:ind w:right="610"/>
              <w:spacing w:after="0"/>
              <w:rPr>
                <w:sz w:val="20"/>
                <w:szCs w:val="20"/>
                <w:color w:val="auto"/>
              </w:rPr>
            </w:pPr>
            <w:r>
              <w:rPr>
                <w:rFonts w:ascii="Arial" w:cs="Arial" w:eastAsia="Arial" w:hAnsi="Arial"/>
                <w:sz w:val="18"/>
                <w:szCs w:val="18"/>
                <w:color w:val="auto"/>
                <w:w w:val="92"/>
              </w:rPr>
              <w:t>FAX: (212) 735-2000</w:t>
            </w:r>
          </w:p>
        </w:tc>
        <w:tc>
          <w:tcPr>
            <w:tcW w:w="2880" w:type="dxa"/>
            <w:vAlign w:val="bottom"/>
          </w:tcPr>
          <w:p>
            <w:pPr>
              <w:jc w:val="center"/>
              <w:ind w:left="610"/>
              <w:spacing w:after="0"/>
              <w:rPr>
                <w:sz w:val="20"/>
                <w:szCs w:val="20"/>
                <w:color w:val="auto"/>
              </w:rPr>
            </w:pPr>
            <w:r>
              <w:rPr>
                <w:rFonts w:ascii="Arial" w:cs="Arial" w:eastAsia="Arial" w:hAnsi="Arial"/>
                <w:sz w:val="18"/>
                <w:szCs w:val="18"/>
                <w:color w:val="auto"/>
                <w:w w:val="97"/>
              </w:rPr>
              <w:t>CHICAGO</w:t>
            </w:r>
          </w:p>
        </w:tc>
      </w:tr>
      <w:tr>
        <w:trPr>
          <w:trHeight w:val="216"/>
        </w:trPr>
        <w:tc>
          <w:tcPr>
            <w:tcW w:w="4820" w:type="dxa"/>
            <w:vAlign w:val="bottom"/>
          </w:tcPr>
          <w:p>
            <w:pPr>
              <w:jc w:val="center"/>
              <w:ind w:right="610"/>
              <w:spacing w:after="0"/>
              <w:rPr>
                <w:sz w:val="20"/>
                <w:szCs w:val="20"/>
                <w:color w:val="auto"/>
              </w:rPr>
            </w:pPr>
            <w:r>
              <w:rPr>
                <w:rFonts w:ascii="Arial" w:cs="Arial" w:eastAsia="Arial" w:hAnsi="Arial"/>
                <w:sz w:val="18"/>
                <w:szCs w:val="18"/>
                <w:color w:val="auto"/>
                <w:w w:val="90"/>
              </w:rPr>
              <w:t>www.skadden.com</w:t>
            </w:r>
          </w:p>
        </w:tc>
        <w:tc>
          <w:tcPr>
            <w:tcW w:w="2880" w:type="dxa"/>
            <w:vAlign w:val="bottom"/>
          </w:tcPr>
          <w:p>
            <w:pPr>
              <w:jc w:val="center"/>
              <w:ind w:left="630"/>
              <w:spacing w:after="0"/>
              <w:rPr>
                <w:sz w:val="20"/>
                <w:szCs w:val="20"/>
                <w:color w:val="auto"/>
              </w:rPr>
            </w:pPr>
            <w:r>
              <w:rPr>
                <w:rFonts w:ascii="Arial" w:cs="Arial" w:eastAsia="Arial" w:hAnsi="Arial"/>
                <w:sz w:val="18"/>
                <w:szCs w:val="18"/>
                <w:color w:val="auto"/>
                <w:w w:val="93"/>
              </w:rPr>
              <w:t>HOUSTON</w:t>
            </w:r>
          </w:p>
        </w:tc>
      </w:tr>
      <w:tr>
        <w:trPr>
          <w:trHeight w:val="216"/>
        </w:trPr>
        <w:tc>
          <w:tcPr>
            <w:tcW w:w="4820" w:type="dxa"/>
            <w:vAlign w:val="bottom"/>
          </w:tcPr>
          <w:p>
            <w:pPr>
              <w:spacing w:after="0"/>
              <w:rPr>
                <w:sz w:val="18"/>
                <w:szCs w:val="18"/>
                <w:color w:val="auto"/>
              </w:rPr>
            </w:pPr>
          </w:p>
        </w:tc>
        <w:tc>
          <w:tcPr>
            <w:tcW w:w="2880" w:type="dxa"/>
            <w:vAlign w:val="bottom"/>
          </w:tcPr>
          <w:p>
            <w:pPr>
              <w:jc w:val="center"/>
              <w:ind w:left="630"/>
              <w:spacing w:after="0"/>
              <w:rPr>
                <w:sz w:val="20"/>
                <w:szCs w:val="20"/>
                <w:color w:val="auto"/>
              </w:rPr>
            </w:pPr>
            <w:r>
              <w:rPr>
                <w:rFonts w:ascii="Arial" w:cs="Arial" w:eastAsia="Arial" w:hAnsi="Arial"/>
                <w:sz w:val="18"/>
                <w:szCs w:val="18"/>
                <w:color w:val="auto"/>
                <w:w w:val="95"/>
              </w:rPr>
              <w:t>LOS ANGELES</w:t>
            </w:r>
          </w:p>
        </w:tc>
      </w:tr>
      <w:tr>
        <w:trPr>
          <w:trHeight w:val="216"/>
        </w:trPr>
        <w:tc>
          <w:tcPr>
            <w:tcW w:w="4820" w:type="dxa"/>
            <w:vAlign w:val="bottom"/>
          </w:tcPr>
          <w:p>
            <w:pPr>
              <w:spacing w:after="0"/>
              <w:rPr>
                <w:sz w:val="18"/>
                <w:szCs w:val="18"/>
                <w:color w:val="auto"/>
              </w:rPr>
            </w:pPr>
          </w:p>
        </w:tc>
        <w:tc>
          <w:tcPr>
            <w:tcW w:w="2880" w:type="dxa"/>
            <w:vAlign w:val="bottom"/>
          </w:tcPr>
          <w:p>
            <w:pPr>
              <w:jc w:val="center"/>
              <w:ind w:left="630"/>
              <w:spacing w:after="0"/>
              <w:rPr>
                <w:sz w:val="20"/>
                <w:szCs w:val="20"/>
                <w:color w:val="auto"/>
              </w:rPr>
            </w:pPr>
            <w:r>
              <w:rPr>
                <w:rFonts w:ascii="Arial" w:cs="Arial" w:eastAsia="Arial" w:hAnsi="Arial"/>
                <w:sz w:val="18"/>
                <w:szCs w:val="18"/>
                <w:color w:val="auto"/>
                <w:w w:val="95"/>
              </w:rPr>
              <w:t>PALO ALTO</w:t>
            </w:r>
          </w:p>
        </w:tc>
      </w:tr>
      <w:tr>
        <w:trPr>
          <w:trHeight w:val="216"/>
        </w:trPr>
        <w:tc>
          <w:tcPr>
            <w:tcW w:w="4820" w:type="dxa"/>
            <w:vAlign w:val="bottom"/>
          </w:tcPr>
          <w:p>
            <w:pPr>
              <w:spacing w:after="0"/>
              <w:rPr>
                <w:sz w:val="18"/>
                <w:szCs w:val="18"/>
                <w:color w:val="auto"/>
              </w:rPr>
            </w:pPr>
          </w:p>
        </w:tc>
        <w:tc>
          <w:tcPr>
            <w:tcW w:w="2880" w:type="dxa"/>
            <w:vAlign w:val="bottom"/>
          </w:tcPr>
          <w:p>
            <w:pPr>
              <w:jc w:val="center"/>
              <w:ind w:left="630"/>
              <w:spacing w:after="0"/>
              <w:rPr>
                <w:sz w:val="20"/>
                <w:szCs w:val="20"/>
                <w:color w:val="auto"/>
              </w:rPr>
            </w:pPr>
            <w:r>
              <w:rPr>
                <w:rFonts w:ascii="Arial" w:cs="Arial" w:eastAsia="Arial" w:hAnsi="Arial"/>
                <w:sz w:val="18"/>
                <w:szCs w:val="18"/>
                <w:color w:val="auto"/>
                <w:w w:val="94"/>
              </w:rPr>
              <w:t>SAN FRANCISCO</w:t>
            </w:r>
          </w:p>
        </w:tc>
      </w:tr>
      <w:tr>
        <w:trPr>
          <w:trHeight w:val="216"/>
        </w:trPr>
        <w:tc>
          <w:tcPr>
            <w:tcW w:w="4820" w:type="dxa"/>
            <w:vAlign w:val="bottom"/>
          </w:tcPr>
          <w:p>
            <w:pPr>
              <w:jc w:val="center"/>
              <w:ind w:right="650"/>
              <w:spacing w:after="0"/>
              <w:rPr>
                <w:sz w:val="20"/>
                <w:szCs w:val="20"/>
                <w:color w:val="auto"/>
              </w:rPr>
            </w:pPr>
            <w:r>
              <w:rPr>
                <w:rFonts w:ascii="Arial" w:cs="Arial" w:eastAsia="Arial" w:hAnsi="Arial"/>
                <w:sz w:val="18"/>
                <w:szCs w:val="18"/>
                <w:color w:val="auto"/>
                <w:w w:val="89"/>
              </w:rPr>
              <w:t>January 13, 2011</w:t>
            </w:r>
          </w:p>
        </w:tc>
        <w:tc>
          <w:tcPr>
            <w:tcW w:w="2880" w:type="dxa"/>
            <w:vAlign w:val="bottom"/>
          </w:tcPr>
          <w:p>
            <w:pPr>
              <w:jc w:val="center"/>
              <w:ind w:left="630"/>
              <w:spacing w:after="0"/>
              <w:rPr>
                <w:sz w:val="20"/>
                <w:szCs w:val="20"/>
                <w:color w:val="auto"/>
              </w:rPr>
            </w:pPr>
            <w:r>
              <w:rPr>
                <w:rFonts w:ascii="Arial" w:cs="Arial" w:eastAsia="Arial" w:hAnsi="Arial"/>
                <w:sz w:val="18"/>
                <w:szCs w:val="18"/>
                <w:color w:val="auto"/>
                <w:w w:val="96"/>
              </w:rPr>
              <w:t>WASHINGTON, D.C.</w:t>
            </w:r>
          </w:p>
        </w:tc>
      </w:tr>
      <w:tr>
        <w:trPr>
          <w:trHeight w:val="230"/>
        </w:trPr>
        <w:tc>
          <w:tcPr>
            <w:tcW w:w="4820" w:type="dxa"/>
            <w:vAlign w:val="bottom"/>
          </w:tcPr>
          <w:p>
            <w:pPr>
              <w:spacing w:after="0"/>
              <w:rPr>
                <w:sz w:val="20"/>
                <w:szCs w:val="20"/>
                <w:color w:val="auto"/>
              </w:rPr>
            </w:pPr>
          </w:p>
        </w:tc>
        <w:tc>
          <w:tcPr>
            <w:tcW w:w="2880" w:type="dxa"/>
            <w:vAlign w:val="bottom"/>
          </w:tcPr>
          <w:p>
            <w:pPr>
              <w:jc w:val="center"/>
              <w:ind w:left="630"/>
              <w:spacing w:after="0"/>
              <w:rPr>
                <w:sz w:val="20"/>
                <w:szCs w:val="20"/>
                <w:color w:val="auto"/>
              </w:rPr>
            </w:pPr>
            <w:r>
              <w:rPr>
                <w:rFonts w:ascii="Arial" w:cs="Arial" w:eastAsia="Arial" w:hAnsi="Arial"/>
                <w:sz w:val="18"/>
                <w:szCs w:val="18"/>
                <w:color w:val="auto"/>
              </w:rPr>
              <w:t>WILMINGTON</w:t>
            </w:r>
          </w:p>
        </w:tc>
      </w:tr>
      <w:tr>
        <w:trPr>
          <w:trHeight w:val="418"/>
        </w:trPr>
        <w:tc>
          <w:tcPr>
            <w:tcW w:w="4820" w:type="dxa"/>
            <w:vAlign w:val="bottom"/>
          </w:tcPr>
          <w:p>
            <w:pPr>
              <w:spacing w:after="0"/>
              <w:rPr>
                <w:sz w:val="24"/>
                <w:szCs w:val="24"/>
                <w:color w:val="auto"/>
              </w:rPr>
            </w:pPr>
          </w:p>
        </w:tc>
        <w:tc>
          <w:tcPr>
            <w:tcW w:w="2880" w:type="dxa"/>
            <w:vAlign w:val="bottom"/>
          </w:tcPr>
          <w:p>
            <w:pPr>
              <w:jc w:val="center"/>
              <w:ind w:left="630"/>
              <w:spacing w:after="0"/>
              <w:rPr>
                <w:sz w:val="20"/>
                <w:szCs w:val="20"/>
                <w:color w:val="auto"/>
              </w:rPr>
            </w:pPr>
            <w:r>
              <w:rPr>
                <w:rFonts w:ascii="Arial" w:cs="Arial" w:eastAsia="Arial" w:hAnsi="Arial"/>
                <w:sz w:val="18"/>
                <w:szCs w:val="18"/>
                <w:color w:val="auto"/>
                <w:w w:val="97"/>
              </w:rPr>
              <w:t>BEIJING</w:t>
            </w:r>
          </w:p>
        </w:tc>
      </w:tr>
      <w:tr>
        <w:trPr>
          <w:trHeight w:val="216"/>
        </w:trPr>
        <w:tc>
          <w:tcPr>
            <w:tcW w:w="4820" w:type="dxa"/>
            <w:vAlign w:val="bottom"/>
          </w:tcPr>
          <w:p>
            <w:pPr>
              <w:spacing w:after="0"/>
              <w:rPr>
                <w:sz w:val="18"/>
                <w:szCs w:val="18"/>
                <w:color w:val="auto"/>
              </w:rPr>
            </w:pPr>
          </w:p>
        </w:tc>
        <w:tc>
          <w:tcPr>
            <w:tcW w:w="2880" w:type="dxa"/>
            <w:vAlign w:val="bottom"/>
          </w:tcPr>
          <w:p>
            <w:pPr>
              <w:jc w:val="center"/>
              <w:ind w:left="630"/>
              <w:spacing w:after="0"/>
              <w:rPr>
                <w:sz w:val="20"/>
                <w:szCs w:val="20"/>
                <w:color w:val="auto"/>
              </w:rPr>
            </w:pPr>
            <w:r>
              <w:rPr>
                <w:rFonts w:ascii="Arial" w:cs="Arial" w:eastAsia="Arial" w:hAnsi="Arial"/>
                <w:sz w:val="18"/>
                <w:szCs w:val="18"/>
                <w:color w:val="auto"/>
                <w:w w:val="91"/>
              </w:rPr>
              <w:t>BRUSSELS</w:t>
            </w:r>
          </w:p>
        </w:tc>
      </w:tr>
      <w:tr>
        <w:trPr>
          <w:trHeight w:val="216"/>
        </w:trPr>
        <w:tc>
          <w:tcPr>
            <w:tcW w:w="4820" w:type="dxa"/>
            <w:vAlign w:val="bottom"/>
          </w:tcPr>
          <w:p>
            <w:pPr>
              <w:spacing w:after="0"/>
              <w:rPr>
                <w:sz w:val="18"/>
                <w:szCs w:val="18"/>
                <w:color w:val="auto"/>
              </w:rPr>
            </w:pPr>
          </w:p>
        </w:tc>
        <w:tc>
          <w:tcPr>
            <w:tcW w:w="2880" w:type="dxa"/>
            <w:vAlign w:val="bottom"/>
          </w:tcPr>
          <w:p>
            <w:pPr>
              <w:jc w:val="center"/>
              <w:ind w:left="610"/>
              <w:spacing w:after="0"/>
              <w:rPr>
                <w:sz w:val="20"/>
                <w:szCs w:val="20"/>
                <w:color w:val="auto"/>
              </w:rPr>
            </w:pPr>
            <w:r>
              <w:rPr>
                <w:rFonts w:ascii="Arial" w:cs="Arial" w:eastAsia="Arial" w:hAnsi="Arial"/>
                <w:sz w:val="18"/>
                <w:szCs w:val="18"/>
                <w:color w:val="auto"/>
                <w:w w:val="97"/>
              </w:rPr>
              <w:t>FRANKFURT</w:t>
            </w:r>
          </w:p>
        </w:tc>
      </w:tr>
      <w:tr>
        <w:trPr>
          <w:trHeight w:val="216"/>
        </w:trPr>
        <w:tc>
          <w:tcPr>
            <w:tcW w:w="4820" w:type="dxa"/>
            <w:vAlign w:val="bottom"/>
          </w:tcPr>
          <w:p>
            <w:pPr>
              <w:spacing w:after="0"/>
              <w:rPr>
                <w:sz w:val="18"/>
                <w:szCs w:val="18"/>
                <w:color w:val="auto"/>
              </w:rPr>
            </w:pPr>
          </w:p>
        </w:tc>
        <w:tc>
          <w:tcPr>
            <w:tcW w:w="2880" w:type="dxa"/>
            <w:vAlign w:val="bottom"/>
          </w:tcPr>
          <w:p>
            <w:pPr>
              <w:jc w:val="center"/>
              <w:ind w:left="630"/>
              <w:spacing w:after="0"/>
              <w:rPr>
                <w:sz w:val="20"/>
                <w:szCs w:val="20"/>
                <w:color w:val="auto"/>
              </w:rPr>
            </w:pPr>
            <w:r>
              <w:rPr>
                <w:rFonts w:ascii="Arial" w:cs="Arial" w:eastAsia="Arial" w:hAnsi="Arial"/>
                <w:sz w:val="18"/>
                <w:szCs w:val="18"/>
                <w:color w:val="auto"/>
                <w:w w:val="96"/>
              </w:rPr>
              <w:t>HONG KONG</w:t>
            </w:r>
          </w:p>
        </w:tc>
      </w:tr>
      <w:tr>
        <w:trPr>
          <w:trHeight w:val="216"/>
        </w:trPr>
        <w:tc>
          <w:tcPr>
            <w:tcW w:w="4820" w:type="dxa"/>
            <w:vAlign w:val="bottom"/>
          </w:tcPr>
          <w:p>
            <w:pPr>
              <w:spacing w:after="0"/>
              <w:rPr>
                <w:sz w:val="18"/>
                <w:szCs w:val="18"/>
                <w:color w:val="auto"/>
              </w:rPr>
            </w:pPr>
          </w:p>
        </w:tc>
        <w:tc>
          <w:tcPr>
            <w:tcW w:w="2880" w:type="dxa"/>
            <w:vAlign w:val="bottom"/>
          </w:tcPr>
          <w:p>
            <w:pPr>
              <w:jc w:val="center"/>
              <w:ind w:left="630"/>
              <w:spacing w:after="0"/>
              <w:rPr>
                <w:sz w:val="20"/>
                <w:szCs w:val="20"/>
                <w:color w:val="auto"/>
              </w:rPr>
            </w:pPr>
            <w:r>
              <w:rPr>
                <w:rFonts w:ascii="Arial" w:cs="Arial" w:eastAsia="Arial" w:hAnsi="Arial"/>
                <w:sz w:val="18"/>
                <w:szCs w:val="18"/>
                <w:color w:val="auto"/>
                <w:w w:val="98"/>
              </w:rPr>
              <w:t>LONDON</w:t>
            </w:r>
          </w:p>
        </w:tc>
      </w:tr>
      <w:tr>
        <w:trPr>
          <w:trHeight w:val="216"/>
        </w:trPr>
        <w:tc>
          <w:tcPr>
            <w:tcW w:w="4820" w:type="dxa"/>
            <w:vAlign w:val="bottom"/>
          </w:tcPr>
          <w:p>
            <w:pPr>
              <w:spacing w:after="0"/>
              <w:rPr>
                <w:sz w:val="18"/>
                <w:szCs w:val="18"/>
                <w:color w:val="auto"/>
              </w:rPr>
            </w:pPr>
          </w:p>
        </w:tc>
        <w:tc>
          <w:tcPr>
            <w:tcW w:w="2880" w:type="dxa"/>
            <w:vAlign w:val="bottom"/>
          </w:tcPr>
          <w:p>
            <w:pPr>
              <w:jc w:val="center"/>
              <w:ind w:left="630"/>
              <w:spacing w:after="0"/>
              <w:rPr>
                <w:sz w:val="20"/>
                <w:szCs w:val="20"/>
                <w:color w:val="auto"/>
              </w:rPr>
            </w:pPr>
            <w:r>
              <w:rPr>
                <w:rFonts w:ascii="Arial" w:cs="Arial" w:eastAsia="Arial" w:hAnsi="Arial"/>
                <w:sz w:val="18"/>
                <w:szCs w:val="18"/>
                <w:color w:val="auto"/>
                <w:w w:val="94"/>
              </w:rPr>
              <w:t>MOSCOW</w:t>
            </w:r>
          </w:p>
        </w:tc>
      </w:tr>
      <w:tr>
        <w:trPr>
          <w:trHeight w:val="216"/>
        </w:trPr>
        <w:tc>
          <w:tcPr>
            <w:tcW w:w="4820" w:type="dxa"/>
            <w:vAlign w:val="bottom"/>
          </w:tcPr>
          <w:p>
            <w:pPr>
              <w:spacing w:after="0"/>
              <w:rPr>
                <w:sz w:val="18"/>
                <w:szCs w:val="18"/>
                <w:color w:val="auto"/>
              </w:rPr>
            </w:pPr>
          </w:p>
        </w:tc>
        <w:tc>
          <w:tcPr>
            <w:tcW w:w="2880" w:type="dxa"/>
            <w:vAlign w:val="bottom"/>
          </w:tcPr>
          <w:p>
            <w:pPr>
              <w:jc w:val="center"/>
              <w:ind w:left="630"/>
              <w:spacing w:after="0"/>
              <w:rPr>
                <w:sz w:val="20"/>
                <w:szCs w:val="20"/>
                <w:color w:val="auto"/>
              </w:rPr>
            </w:pPr>
            <w:r>
              <w:rPr>
                <w:rFonts w:ascii="Arial" w:cs="Arial" w:eastAsia="Arial" w:hAnsi="Arial"/>
                <w:sz w:val="18"/>
                <w:szCs w:val="18"/>
                <w:color w:val="auto"/>
                <w:w w:val="99"/>
              </w:rPr>
              <w:t>MUNICH</w:t>
            </w:r>
          </w:p>
        </w:tc>
      </w:tr>
      <w:tr>
        <w:trPr>
          <w:trHeight w:val="216"/>
        </w:trPr>
        <w:tc>
          <w:tcPr>
            <w:tcW w:w="4820" w:type="dxa"/>
            <w:vAlign w:val="bottom"/>
          </w:tcPr>
          <w:p>
            <w:pPr>
              <w:spacing w:after="0"/>
              <w:rPr>
                <w:sz w:val="18"/>
                <w:szCs w:val="18"/>
                <w:color w:val="auto"/>
              </w:rPr>
            </w:pPr>
          </w:p>
        </w:tc>
        <w:tc>
          <w:tcPr>
            <w:tcW w:w="2880" w:type="dxa"/>
            <w:vAlign w:val="bottom"/>
          </w:tcPr>
          <w:p>
            <w:pPr>
              <w:jc w:val="center"/>
              <w:ind w:left="630"/>
              <w:spacing w:after="0"/>
              <w:rPr>
                <w:sz w:val="20"/>
                <w:szCs w:val="20"/>
                <w:color w:val="auto"/>
              </w:rPr>
            </w:pPr>
            <w:r>
              <w:rPr>
                <w:rFonts w:ascii="Arial" w:cs="Arial" w:eastAsia="Arial" w:hAnsi="Arial"/>
                <w:sz w:val="18"/>
                <w:szCs w:val="18"/>
                <w:color w:val="auto"/>
                <w:w w:val="88"/>
              </w:rPr>
              <w:t>PARIS</w:t>
            </w:r>
          </w:p>
        </w:tc>
      </w:tr>
      <w:tr>
        <w:trPr>
          <w:trHeight w:val="216"/>
        </w:trPr>
        <w:tc>
          <w:tcPr>
            <w:tcW w:w="4820" w:type="dxa"/>
            <w:vAlign w:val="bottom"/>
          </w:tcPr>
          <w:p>
            <w:pPr>
              <w:spacing w:after="0"/>
              <w:rPr>
                <w:sz w:val="18"/>
                <w:szCs w:val="18"/>
                <w:color w:val="auto"/>
              </w:rPr>
            </w:pPr>
          </w:p>
        </w:tc>
        <w:tc>
          <w:tcPr>
            <w:tcW w:w="2880" w:type="dxa"/>
            <w:vAlign w:val="bottom"/>
          </w:tcPr>
          <w:p>
            <w:pPr>
              <w:jc w:val="center"/>
              <w:ind w:left="630"/>
              <w:spacing w:after="0"/>
              <w:rPr>
                <w:sz w:val="20"/>
                <w:szCs w:val="20"/>
                <w:color w:val="auto"/>
              </w:rPr>
            </w:pPr>
            <w:r>
              <w:rPr>
                <w:rFonts w:ascii="Arial" w:cs="Arial" w:eastAsia="Arial" w:hAnsi="Arial"/>
                <w:sz w:val="18"/>
                <w:szCs w:val="18"/>
                <w:color w:val="auto"/>
                <w:w w:val="96"/>
              </w:rPr>
              <w:t>SÃO PAULO</w:t>
            </w:r>
          </w:p>
        </w:tc>
      </w:tr>
      <w:tr>
        <w:trPr>
          <w:trHeight w:val="216"/>
        </w:trPr>
        <w:tc>
          <w:tcPr>
            <w:tcW w:w="4820" w:type="dxa"/>
            <w:vAlign w:val="bottom"/>
          </w:tcPr>
          <w:p>
            <w:pPr>
              <w:spacing w:after="0"/>
              <w:rPr>
                <w:sz w:val="18"/>
                <w:szCs w:val="18"/>
                <w:color w:val="auto"/>
              </w:rPr>
            </w:pPr>
          </w:p>
        </w:tc>
        <w:tc>
          <w:tcPr>
            <w:tcW w:w="2880" w:type="dxa"/>
            <w:vAlign w:val="bottom"/>
          </w:tcPr>
          <w:p>
            <w:pPr>
              <w:jc w:val="center"/>
              <w:ind w:left="610"/>
              <w:spacing w:after="0"/>
              <w:rPr>
                <w:sz w:val="20"/>
                <w:szCs w:val="20"/>
                <w:color w:val="auto"/>
              </w:rPr>
            </w:pPr>
            <w:r>
              <w:rPr>
                <w:rFonts w:ascii="Arial" w:cs="Arial" w:eastAsia="Arial" w:hAnsi="Arial"/>
                <w:sz w:val="18"/>
                <w:szCs w:val="18"/>
                <w:color w:val="auto"/>
                <w:w w:val="99"/>
              </w:rPr>
              <w:t>SHANGHAI</w:t>
            </w:r>
          </w:p>
        </w:tc>
      </w:tr>
      <w:tr>
        <w:trPr>
          <w:trHeight w:val="216"/>
        </w:trPr>
        <w:tc>
          <w:tcPr>
            <w:tcW w:w="4820" w:type="dxa"/>
            <w:vAlign w:val="bottom"/>
          </w:tcPr>
          <w:p>
            <w:pPr>
              <w:spacing w:after="0"/>
              <w:rPr>
                <w:sz w:val="18"/>
                <w:szCs w:val="18"/>
                <w:color w:val="auto"/>
              </w:rPr>
            </w:pPr>
          </w:p>
        </w:tc>
        <w:tc>
          <w:tcPr>
            <w:tcW w:w="2880" w:type="dxa"/>
            <w:vAlign w:val="bottom"/>
          </w:tcPr>
          <w:p>
            <w:pPr>
              <w:jc w:val="center"/>
              <w:ind w:left="630"/>
              <w:spacing w:after="0"/>
              <w:rPr>
                <w:sz w:val="20"/>
                <w:szCs w:val="20"/>
                <w:color w:val="auto"/>
              </w:rPr>
            </w:pPr>
            <w:r>
              <w:rPr>
                <w:rFonts w:ascii="Arial" w:cs="Arial" w:eastAsia="Arial" w:hAnsi="Arial"/>
                <w:sz w:val="18"/>
                <w:szCs w:val="18"/>
                <w:color w:val="auto"/>
                <w:w w:val="93"/>
              </w:rPr>
              <w:t>SINGAPORE</w:t>
            </w:r>
          </w:p>
        </w:tc>
      </w:tr>
      <w:tr>
        <w:trPr>
          <w:trHeight w:val="216"/>
        </w:trPr>
        <w:tc>
          <w:tcPr>
            <w:tcW w:w="4820" w:type="dxa"/>
            <w:vAlign w:val="bottom"/>
          </w:tcPr>
          <w:p>
            <w:pPr>
              <w:spacing w:after="0"/>
              <w:rPr>
                <w:sz w:val="18"/>
                <w:szCs w:val="18"/>
                <w:color w:val="auto"/>
              </w:rPr>
            </w:pPr>
          </w:p>
        </w:tc>
        <w:tc>
          <w:tcPr>
            <w:tcW w:w="2880" w:type="dxa"/>
            <w:vAlign w:val="bottom"/>
          </w:tcPr>
          <w:p>
            <w:pPr>
              <w:jc w:val="center"/>
              <w:ind w:left="630"/>
              <w:spacing w:after="0"/>
              <w:rPr>
                <w:sz w:val="20"/>
                <w:szCs w:val="20"/>
                <w:color w:val="auto"/>
              </w:rPr>
            </w:pPr>
            <w:r>
              <w:rPr>
                <w:rFonts w:ascii="Arial" w:cs="Arial" w:eastAsia="Arial" w:hAnsi="Arial"/>
                <w:sz w:val="18"/>
                <w:szCs w:val="18"/>
                <w:color w:val="auto"/>
                <w:w w:val="97"/>
              </w:rPr>
              <w:t>SYDNEY</w:t>
            </w:r>
          </w:p>
        </w:tc>
      </w:tr>
      <w:tr>
        <w:trPr>
          <w:trHeight w:val="216"/>
        </w:trPr>
        <w:tc>
          <w:tcPr>
            <w:tcW w:w="4820" w:type="dxa"/>
            <w:vAlign w:val="bottom"/>
          </w:tcPr>
          <w:p>
            <w:pPr>
              <w:spacing w:after="0"/>
              <w:rPr>
                <w:sz w:val="18"/>
                <w:szCs w:val="18"/>
                <w:color w:val="auto"/>
              </w:rPr>
            </w:pPr>
          </w:p>
        </w:tc>
        <w:tc>
          <w:tcPr>
            <w:tcW w:w="2880" w:type="dxa"/>
            <w:vAlign w:val="bottom"/>
          </w:tcPr>
          <w:p>
            <w:pPr>
              <w:jc w:val="center"/>
              <w:ind w:left="630"/>
              <w:spacing w:after="0"/>
              <w:rPr>
                <w:sz w:val="20"/>
                <w:szCs w:val="20"/>
                <w:color w:val="auto"/>
              </w:rPr>
            </w:pPr>
            <w:r>
              <w:rPr>
                <w:rFonts w:ascii="Arial" w:cs="Arial" w:eastAsia="Arial" w:hAnsi="Arial"/>
                <w:sz w:val="18"/>
                <w:szCs w:val="18"/>
                <w:color w:val="auto"/>
              </w:rPr>
              <w:t>TOKYO</w:t>
            </w:r>
          </w:p>
        </w:tc>
      </w:tr>
      <w:tr>
        <w:trPr>
          <w:trHeight w:val="216"/>
        </w:trPr>
        <w:tc>
          <w:tcPr>
            <w:tcW w:w="4820" w:type="dxa"/>
            <w:vAlign w:val="bottom"/>
          </w:tcPr>
          <w:p>
            <w:pPr>
              <w:spacing w:after="0"/>
              <w:rPr>
                <w:sz w:val="18"/>
                <w:szCs w:val="18"/>
                <w:color w:val="auto"/>
              </w:rPr>
            </w:pPr>
          </w:p>
        </w:tc>
        <w:tc>
          <w:tcPr>
            <w:tcW w:w="2880" w:type="dxa"/>
            <w:vAlign w:val="bottom"/>
          </w:tcPr>
          <w:p>
            <w:pPr>
              <w:jc w:val="center"/>
              <w:ind w:left="630"/>
              <w:spacing w:after="0"/>
              <w:rPr>
                <w:sz w:val="20"/>
                <w:szCs w:val="20"/>
                <w:color w:val="auto"/>
              </w:rPr>
            </w:pPr>
            <w:r>
              <w:rPr>
                <w:rFonts w:ascii="Arial" w:cs="Arial" w:eastAsia="Arial" w:hAnsi="Arial"/>
                <w:sz w:val="18"/>
                <w:szCs w:val="18"/>
                <w:color w:val="auto"/>
                <w:w w:val="93"/>
              </w:rPr>
              <w:t>TORONTO</w:t>
            </w:r>
          </w:p>
        </w:tc>
      </w:tr>
      <w:tr>
        <w:trPr>
          <w:trHeight w:val="230"/>
        </w:trPr>
        <w:tc>
          <w:tcPr>
            <w:tcW w:w="4820" w:type="dxa"/>
            <w:vAlign w:val="bottom"/>
          </w:tcPr>
          <w:p>
            <w:pPr>
              <w:spacing w:after="0"/>
              <w:rPr>
                <w:sz w:val="20"/>
                <w:szCs w:val="20"/>
                <w:color w:val="auto"/>
              </w:rPr>
            </w:pPr>
          </w:p>
        </w:tc>
        <w:tc>
          <w:tcPr>
            <w:tcW w:w="2880" w:type="dxa"/>
            <w:vAlign w:val="bottom"/>
          </w:tcPr>
          <w:p>
            <w:pPr>
              <w:jc w:val="center"/>
              <w:ind w:left="630"/>
              <w:spacing w:after="0"/>
              <w:rPr>
                <w:sz w:val="20"/>
                <w:szCs w:val="20"/>
                <w:color w:val="auto"/>
              </w:rPr>
            </w:pPr>
            <w:r>
              <w:rPr>
                <w:rFonts w:ascii="Arial" w:cs="Arial" w:eastAsia="Arial" w:hAnsi="Arial"/>
                <w:sz w:val="18"/>
                <w:szCs w:val="18"/>
                <w:color w:val="auto"/>
              </w:rPr>
              <w:t>VIENNA</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BY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Mr. Michael Seaman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Special Counsel</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20549-4561</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ind w:left="1300"/>
              <w:spacing w:after="0"/>
              <w:rPr>
                <w:sz w:val="20"/>
                <w:szCs w:val="20"/>
                <w:color w:val="auto"/>
              </w:rPr>
            </w:pPr>
            <w:r>
              <w:rPr>
                <w:rFonts w:ascii="Arial" w:cs="Arial" w:eastAsia="Arial" w:hAnsi="Arial"/>
                <w:sz w:val="18"/>
                <w:szCs w:val="18"/>
                <w:color w:val="auto"/>
              </w:rPr>
              <w:t>Re:</w:t>
            </w:r>
          </w:p>
        </w:tc>
        <w:tc>
          <w:tcPr>
            <w:tcW w:w="3160" w:type="dxa"/>
            <w:vAlign w:val="bottom"/>
          </w:tcPr>
          <w:p>
            <w:pPr>
              <w:spacing w:after="0"/>
              <w:rPr>
                <w:sz w:val="20"/>
                <w:szCs w:val="20"/>
                <w:color w:val="auto"/>
              </w:rPr>
            </w:pPr>
            <w:r>
              <w:rPr>
                <w:rFonts w:ascii="Arial" w:cs="Arial" w:eastAsia="Arial" w:hAnsi="Arial"/>
                <w:sz w:val="18"/>
                <w:szCs w:val="18"/>
                <w:color w:val="auto"/>
              </w:rPr>
              <w:t>BankUnited, Inc.</w:t>
            </w:r>
          </w:p>
        </w:tc>
      </w:tr>
      <w:tr>
        <w:trPr>
          <w:trHeight w:val="216"/>
        </w:trPr>
        <w:tc>
          <w:tcPr>
            <w:tcW w:w="23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Registration Statement on Form S-1</w:t>
            </w:r>
          </w:p>
        </w:tc>
      </w:tr>
      <w:tr>
        <w:trPr>
          <w:trHeight w:val="230"/>
        </w:trPr>
        <w:tc>
          <w:tcPr>
            <w:tcW w:w="2300" w:type="dxa"/>
            <w:vAlign w:val="bottom"/>
          </w:tcPr>
          <w:p>
            <w:pPr>
              <w:spacing w:after="0"/>
              <w:rPr>
                <w:sz w:val="20"/>
                <w:szCs w:val="20"/>
                <w:color w:val="auto"/>
              </w:rPr>
            </w:pPr>
          </w:p>
        </w:tc>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File No. 333-170203</w:t>
            </w:r>
          </w:p>
        </w:tc>
      </w:tr>
      <w:tr>
        <w:trPr>
          <w:trHeight w:val="426"/>
        </w:trPr>
        <w:tc>
          <w:tcPr>
            <w:tcW w:w="2300" w:type="dxa"/>
            <w:vAlign w:val="bottom"/>
          </w:tcPr>
          <w:p>
            <w:pPr>
              <w:spacing w:after="0"/>
              <w:rPr>
                <w:sz w:val="20"/>
                <w:szCs w:val="20"/>
                <w:color w:val="auto"/>
              </w:rPr>
            </w:pPr>
            <w:r>
              <w:rPr>
                <w:rFonts w:ascii="Arial" w:cs="Arial" w:eastAsia="Arial" w:hAnsi="Arial"/>
                <w:sz w:val="18"/>
                <w:szCs w:val="18"/>
                <w:color w:val="auto"/>
              </w:rPr>
              <w:t>Dear Mr. Seaman:</w:t>
            </w:r>
          </w:p>
        </w:tc>
        <w:tc>
          <w:tcPr>
            <w:tcW w:w="3160" w:type="dxa"/>
            <w:vAlign w:val="bottom"/>
          </w:tcPr>
          <w:p>
            <w:pPr>
              <w:spacing w:after="0"/>
              <w:rPr>
                <w:sz w:val="24"/>
                <w:szCs w:val="24"/>
                <w:color w:val="auto"/>
              </w:rPr>
            </w:pPr>
          </w:p>
        </w:tc>
      </w:tr>
    </w:tbl>
    <w:p>
      <w:pPr>
        <w:spacing w:after="0" w:line="202" w:lineRule="exact"/>
        <w:rPr>
          <w:sz w:val="24"/>
          <w:szCs w:val="24"/>
          <w:color w:val="auto"/>
        </w:rPr>
      </w:pPr>
    </w:p>
    <w:p>
      <w:pPr>
        <w:ind w:right="780" w:firstLine="1297"/>
        <w:spacing w:after="0" w:line="277" w:lineRule="auto"/>
        <w:rPr>
          <w:sz w:val="20"/>
          <w:szCs w:val="20"/>
          <w:color w:val="auto"/>
        </w:rPr>
      </w:pPr>
      <w:r>
        <w:rPr>
          <w:rFonts w:ascii="Arial" w:cs="Arial" w:eastAsia="Arial" w:hAnsi="Arial"/>
          <w:sz w:val="18"/>
          <w:szCs w:val="18"/>
          <w:color w:val="auto"/>
        </w:rPr>
        <w:t>On behalf of BankUnited, Inc. (the “</w:t>
      </w:r>
      <w:r>
        <w:rPr>
          <w:rFonts w:ascii="Arial" w:cs="Arial" w:eastAsia="Arial" w:hAnsi="Arial"/>
          <w:sz w:val="18"/>
          <w:szCs w:val="18"/>
          <w:u w:val="single" w:color="auto"/>
          <w:color w:val="auto"/>
        </w:rPr>
        <w:t>Company</w:t>
      </w:r>
      <w:r>
        <w:rPr>
          <w:rFonts w:ascii="Arial" w:cs="Arial" w:eastAsia="Arial" w:hAnsi="Arial"/>
          <w:sz w:val="18"/>
          <w:szCs w:val="18"/>
          <w:color w:val="auto"/>
        </w:rPr>
        <w:t>”), we filed Amendment No. 2 to the above-referenced Registration Statement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with the Securities and Exchange Commission on January 10, 2011.</w:t>
      </w:r>
    </w:p>
    <w:p>
      <w:pPr>
        <w:spacing w:after="0" w:line="170" w:lineRule="exact"/>
        <w:rPr>
          <w:sz w:val="24"/>
          <w:szCs w:val="24"/>
          <w:color w:val="auto"/>
        </w:rPr>
      </w:pPr>
    </w:p>
    <w:p>
      <w:pPr>
        <w:ind w:right="80" w:firstLine="1297"/>
        <w:spacing w:after="0" w:line="259" w:lineRule="auto"/>
        <w:rPr>
          <w:sz w:val="20"/>
          <w:szCs w:val="20"/>
          <w:color w:val="auto"/>
        </w:rPr>
      </w:pPr>
      <w:r>
        <w:rPr>
          <w:rFonts w:ascii="Arial" w:cs="Arial" w:eastAsia="Arial" w:hAnsi="Arial"/>
          <w:sz w:val="18"/>
          <w:szCs w:val="18"/>
          <w:color w:val="auto"/>
        </w:rPr>
        <w:t>In order to facilitate the Staff’s review of the Registration Statement, although a bona fide estimate of the price range for the initial public offering (the “</w:t>
      </w:r>
      <w:r>
        <w:rPr>
          <w:rFonts w:ascii="Arial" w:cs="Arial" w:eastAsia="Arial" w:hAnsi="Arial"/>
          <w:sz w:val="18"/>
          <w:szCs w:val="18"/>
          <w:u w:val="single" w:color="auto"/>
          <w:color w:val="auto"/>
        </w:rPr>
        <w:t>IPO</w:t>
      </w:r>
      <w:r>
        <w:rPr>
          <w:rFonts w:ascii="Arial" w:cs="Arial" w:eastAsia="Arial" w:hAnsi="Arial"/>
          <w:sz w:val="18"/>
          <w:szCs w:val="18"/>
          <w:color w:val="auto"/>
        </w:rPr>
        <w:t>”) has not been finalized at this time, the Company currently anticipates that the IPO price will fall between $22 and $26 per share, subject to change based on market conditions. The Company also advises that the bona fide price range included on the front cover page of the preliminary prospectus prior to the time of effectiveness will be narrowed to be no greater than $3.</w:t>
      </w:r>
    </w:p>
    <w:p>
      <w:pPr>
        <w:spacing w:after="0" w:line="187" w:lineRule="exact"/>
        <w:rPr>
          <w:sz w:val="24"/>
          <w:szCs w:val="24"/>
          <w:color w:val="auto"/>
        </w:rPr>
      </w:pPr>
    </w:p>
    <w:p>
      <w:pPr>
        <w:ind w:firstLine="1297"/>
        <w:spacing w:after="0" w:line="277" w:lineRule="auto"/>
        <w:rPr>
          <w:sz w:val="20"/>
          <w:szCs w:val="20"/>
          <w:color w:val="auto"/>
        </w:rPr>
      </w:pPr>
      <w:r>
        <w:rPr>
          <w:rFonts w:ascii="Arial" w:cs="Arial" w:eastAsia="Arial" w:hAnsi="Arial"/>
          <w:sz w:val="18"/>
          <w:szCs w:val="18"/>
          <w:color w:val="auto"/>
        </w:rPr>
        <w:t>In response to the Staff’s request, the Company sets forth below information relating to all options granted since the Acquisition (as defined in the Registration Statement) as of January 10, 2011 (as adjusted for stock splits since that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tbl>
      <w:tblPr>
        <w:tblLayout w:type="fixed"/>
        <w:tblInd w:w="1960" w:type="dxa"/>
        <w:tblCellMar>
          <w:top w:w="0" w:type="dxa"/>
          <w:left w:w="0" w:type="dxa"/>
          <w:bottom w:w="0" w:type="dxa"/>
          <w:right w:w="0" w:type="dxa"/>
        </w:tblCellMar>
      </w:tblPr>
      <w:tr>
        <w:trPr>
          <w:trHeight w:val="161"/>
        </w:trPr>
        <w:tc>
          <w:tcPr>
            <w:tcW w:w="3160" w:type="dxa"/>
            <w:vAlign w:val="bottom"/>
            <w:gridSpan w:val="3"/>
          </w:tcPr>
          <w:p>
            <w:pPr>
              <w:spacing w:after="0"/>
              <w:rPr>
                <w:sz w:val="20"/>
                <w:szCs w:val="20"/>
                <w:color w:val="auto"/>
              </w:rPr>
            </w:pPr>
            <w:r>
              <w:rPr>
                <w:rFonts w:ascii="Arial" w:cs="Arial" w:eastAsia="Arial" w:hAnsi="Arial"/>
                <w:sz w:val="14"/>
                <w:szCs w:val="14"/>
                <w:b w:val="1"/>
                <w:bCs w:val="1"/>
                <w:color w:val="auto"/>
              </w:rPr>
              <w:t>Grant</w:t>
            </w:r>
          </w:p>
        </w:tc>
        <w:tc>
          <w:tcPr>
            <w:tcW w:w="1620" w:type="dxa"/>
            <w:vAlign w:val="bottom"/>
          </w:tcPr>
          <w:p>
            <w:pPr>
              <w:jc w:val="center"/>
              <w:ind w:right="634"/>
              <w:spacing w:after="0"/>
              <w:rPr>
                <w:sz w:val="20"/>
                <w:szCs w:val="20"/>
                <w:color w:val="auto"/>
              </w:rPr>
            </w:pPr>
            <w:r>
              <w:rPr>
                <w:rFonts w:ascii="Arial" w:cs="Arial" w:eastAsia="Arial" w:hAnsi="Arial"/>
                <w:sz w:val="14"/>
                <w:szCs w:val="14"/>
                <w:b w:val="1"/>
                <w:bCs w:val="1"/>
                <w:color w:val="auto"/>
                <w:w w:val="91"/>
              </w:rPr>
              <w:t>No. of options</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3"/>
            <w:vMerge w:val="restart"/>
          </w:tcPr>
          <w:p>
            <w:pPr>
              <w:jc w:val="right"/>
              <w:ind w:right="760"/>
              <w:spacing w:after="0"/>
              <w:rPr>
                <w:sz w:val="20"/>
                <w:szCs w:val="20"/>
                <w:color w:val="auto"/>
              </w:rPr>
            </w:pPr>
            <w:r>
              <w:rPr>
                <w:rFonts w:ascii="Arial" w:cs="Arial" w:eastAsia="Arial" w:hAnsi="Arial"/>
                <w:sz w:val="14"/>
                <w:szCs w:val="14"/>
                <w:b w:val="1"/>
                <w:bCs w:val="1"/>
                <w:color w:val="auto"/>
              </w:rPr>
              <w:t>Strike price</w:t>
            </w:r>
          </w:p>
        </w:tc>
        <w:tc>
          <w:tcPr>
            <w:tcW w:w="0" w:type="dxa"/>
            <w:vAlign w:val="bottom"/>
          </w:tcPr>
          <w:p>
            <w:pPr>
              <w:spacing w:after="0"/>
              <w:rPr>
                <w:sz w:val="1"/>
                <w:szCs w:val="1"/>
                <w:color w:val="auto"/>
              </w:rPr>
            </w:pPr>
          </w:p>
        </w:tc>
      </w:tr>
      <w:tr>
        <w:trPr>
          <w:trHeight w:val="171"/>
        </w:trPr>
        <w:tc>
          <w:tcPr>
            <w:tcW w:w="316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1620" w:type="dxa"/>
            <w:vAlign w:val="bottom"/>
          </w:tcPr>
          <w:p>
            <w:pPr>
              <w:jc w:val="center"/>
              <w:ind w:right="654"/>
              <w:spacing w:after="0"/>
              <w:rPr>
                <w:sz w:val="20"/>
                <w:szCs w:val="20"/>
                <w:color w:val="auto"/>
              </w:rPr>
            </w:pPr>
            <w:r>
              <w:rPr>
                <w:rFonts w:ascii="Arial" w:cs="Arial" w:eastAsia="Arial" w:hAnsi="Arial"/>
                <w:sz w:val="14"/>
                <w:szCs w:val="14"/>
                <w:b w:val="1"/>
                <w:bCs w:val="1"/>
                <w:color w:val="auto"/>
                <w:w w:val="93"/>
              </w:rPr>
              <w:t>granted</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7/9/09</w:t>
            </w:r>
          </w:p>
        </w:tc>
        <w:tc>
          <w:tcPr>
            <w:tcW w:w="3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ind w:right="654"/>
              <w:spacing w:after="0"/>
              <w:rPr>
                <w:sz w:val="20"/>
                <w:szCs w:val="20"/>
                <w:color w:val="auto"/>
              </w:rPr>
            </w:pPr>
            <w:r>
              <w:rPr>
                <w:rFonts w:ascii="Arial" w:cs="Arial" w:eastAsia="Arial" w:hAnsi="Arial"/>
                <w:sz w:val="18"/>
                <w:szCs w:val="18"/>
                <w:color w:val="auto"/>
                <w:w w:val="88"/>
              </w:rPr>
              <w:t>4,630</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jc w:val="center"/>
              <w:spacing w:after="0"/>
              <w:rPr>
                <w:sz w:val="20"/>
                <w:szCs w:val="20"/>
                <w:color w:val="auto"/>
              </w:rPr>
            </w:pPr>
            <w:r>
              <w:rPr>
                <w:rFonts w:ascii="Arial" w:cs="Arial" w:eastAsia="Arial" w:hAnsi="Arial"/>
                <w:sz w:val="18"/>
                <w:szCs w:val="18"/>
                <w:color w:val="auto"/>
                <w:w w:val="89"/>
              </w:rPr>
              <w:t>9/15/09</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20" w:type="dxa"/>
            <w:vAlign w:val="bottom"/>
          </w:tcPr>
          <w:p>
            <w:pPr>
              <w:jc w:val="center"/>
              <w:ind w:right="634"/>
              <w:spacing w:after="0"/>
              <w:rPr>
                <w:sz w:val="20"/>
                <w:szCs w:val="20"/>
                <w:color w:val="auto"/>
              </w:rPr>
            </w:pPr>
            <w:r>
              <w:rPr>
                <w:rFonts w:ascii="Arial" w:cs="Arial" w:eastAsia="Arial" w:hAnsi="Arial"/>
                <w:sz w:val="18"/>
                <w:szCs w:val="18"/>
                <w:color w:val="auto"/>
                <w:w w:val="90"/>
              </w:rPr>
              <w:t>92,500</w:t>
            </w:r>
          </w:p>
        </w:tc>
        <w:tc>
          <w:tcPr>
            <w:tcW w:w="5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9/25/09</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20" w:type="dxa"/>
            <w:vAlign w:val="bottom"/>
            <w:shd w:val="clear" w:color="auto" w:fill="CCEEFF"/>
          </w:tcPr>
          <w:p>
            <w:pPr>
              <w:jc w:val="center"/>
              <w:ind w:right="634"/>
              <w:spacing w:after="0"/>
              <w:rPr>
                <w:sz w:val="20"/>
                <w:szCs w:val="20"/>
                <w:color w:val="auto"/>
              </w:rPr>
            </w:pPr>
            <w:r>
              <w:rPr>
                <w:rFonts w:ascii="Arial" w:cs="Arial" w:eastAsia="Arial" w:hAnsi="Arial"/>
                <w:sz w:val="18"/>
                <w:szCs w:val="18"/>
                <w:color w:val="auto"/>
                <w:w w:val="89"/>
              </w:rPr>
              <w:t>252,630</w:t>
            </w:r>
          </w:p>
        </w:tc>
        <w:tc>
          <w:tcPr>
            <w:tcW w:w="5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6"/>
        </w:trPr>
        <w:tc>
          <w:tcPr>
            <w:tcW w:w="2140" w:type="dxa"/>
            <w:vAlign w:val="bottom"/>
          </w:tcPr>
          <w:p>
            <w:pPr>
              <w:jc w:val="center"/>
              <w:spacing w:after="0"/>
              <w:rPr>
                <w:sz w:val="20"/>
                <w:szCs w:val="20"/>
                <w:color w:val="auto"/>
              </w:rPr>
            </w:pPr>
            <w:r>
              <w:rPr>
                <w:rFonts w:ascii="Arial" w:cs="Arial" w:eastAsia="Arial" w:hAnsi="Arial"/>
                <w:sz w:val="18"/>
                <w:szCs w:val="18"/>
                <w:color w:val="auto"/>
                <w:w w:val="89"/>
              </w:rPr>
              <w:t>12/2/09</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20" w:type="dxa"/>
            <w:vAlign w:val="bottom"/>
          </w:tcPr>
          <w:p>
            <w:pPr>
              <w:jc w:val="center"/>
              <w:ind w:right="634"/>
              <w:spacing w:after="0"/>
              <w:rPr>
                <w:sz w:val="20"/>
                <w:szCs w:val="20"/>
                <w:color w:val="auto"/>
              </w:rPr>
            </w:pPr>
            <w:r>
              <w:rPr>
                <w:rFonts w:ascii="Arial" w:cs="Arial" w:eastAsia="Arial" w:hAnsi="Arial"/>
                <w:sz w:val="18"/>
                <w:szCs w:val="18"/>
                <w:color w:val="auto"/>
                <w:w w:val="90"/>
              </w:rPr>
              <w:t>34,930</w:t>
            </w:r>
          </w:p>
        </w:tc>
        <w:tc>
          <w:tcPr>
            <w:tcW w:w="5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16.29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2/3/10</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20" w:type="dxa"/>
            <w:vAlign w:val="bottom"/>
            <w:shd w:val="clear" w:color="auto" w:fill="CCEEFF"/>
          </w:tcPr>
          <w:p>
            <w:pPr>
              <w:jc w:val="center"/>
              <w:ind w:right="634"/>
              <w:spacing w:after="0"/>
              <w:rPr>
                <w:sz w:val="20"/>
                <w:szCs w:val="20"/>
                <w:color w:val="auto"/>
              </w:rPr>
            </w:pPr>
            <w:r>
              <w:rPr>
                <w:rFonts w:ascii="Arial" w:cs="Arial" w:eastAsia="Arial" w:hAnsi="Arial"/>
                <w:sz w:val="18"/>
                <w:szCs w:val="18"/>
                <w:color w:val="auto"/>
                <w:w w:val="90"/>
              </w:rPr>
              <w:t>29,620</w:t>
            </w:r>
          </w:p>
        </w:tc>
        <w:tc>
          <w:tcPr>
            <w:tcW w:w="5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jc w:val="center"/>
              <w:spacing w:after="0"/>
              <w:rPr>
                <w:sz w:val="20"/>
                <w:szCs w:val="20"/>
                <w:color w:val="auto"/>
              </w:rPr>
            </w:pPr>
            <w:r>
              <w:rPr>
                <w:rFonts w:ascii="Arial" w:cs="Arial" w:eastAsia="Arial" w:hAnsi="Arial"/>
                <w:sz w:val="18"/>
                <w:szCs w:val="18"/>
                <w:color w:val="auto"/>
                <w:w w:val="89"/>
              </w:rPr>
              <w:t>3/29/10</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20" w:type="dxa"/>
            <w:vAlign w:val="bottom"/>
          </w:tcPr>
          <w:p>
            <w:pPr>
              <w:jc w:val="center"/>
              <w:ind w:right="634"/>
              <w:spacing w:after="0"/>
              <w:rPr>
                <w:sz w:val="20"/>
                <w:szCs w:val="20"/>
                <w:color w:val="auto"/>
              </w:rPr>
            </w:pPr>
            <w:r>
              <w:rPr>
                <w:rFonts w:ascii="Arial" w:cs="Arial" w:eastAsia="Arial" w:hAnsi="Arial"/>
                <w:sz w:val="18"/>
                <w:szCs w:val="18"/>
                <w:color w:val="auto"/>
                <w:w w:val="89"/>
              </w:rPr>
              <w:t>237,900</w:t>
            </w:r>
          </w:p>
        </w:tc>
        <w:tc>
          <w:tcPr>
            <w:tcW w:w="5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17.86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8/18/10</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20" w:type="dxa"/>
            <w:vAlign w:val="bottom"/>
            <w:shd w:val="clear" w:color="auto" w:fill="CCEEFF"/>
          </w:tcPr>
          <w:p>
            <w:pPr>
              <w:jc w:val="center"/>
              <w:ind w:right="634"/>
              <w:spacing w:after="0"/>
              <w:rPr>
                <w:sz w:val="20"/>
                <w:szCs w:val="20"/>
                <w:color w:val="auto"/>
              </w:rPr>
            </w:pPr>
            <w:r>
              <w:rPr>
                <w:rFonts w:ascii="Arial" w:cs="Arial" w:eastAsia="Arial" w:hAnsi="Arial"/>
                <w:sz w:val="18"/>
                <w:szCs w:val="18"/>
                <w:color w:val="auto"/>
                <w:w w:val="89"/>
              </w:rPr>
              <w:t>118,380</w:t>
            </w:r>
          </w:p>
        </w:tc>
        <w:tc>
          <w:tcPr>
            <w:tcW w:w="5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1"/>
              </w:rPr>
              <w:t>11/17/10</w:t>
            </w: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20" w:type="dxa"/>
            <w:vAlign w:val="bottom"/>
          </w:tcPr>
          <w:p>
            <w:pPr>
              <w:jc w:val="center"/>
              <w:ind w:right="634"/>
              <w:spacing w:after="0"/>
              <w:rPr>
                <w:sz w:val="20"/>
                <w:szCs w:val="20"/>
                <w:color w:val="auto"/>
              </w:rPr>
            </w:pPr>
            <w:r>
              <w:rPr>
                <w:rFonts w:ascii="Arial" w:cs="Arial" w:eastAsia="Arial" w:hAnsi="Arial"/>
                <w:sz w:val="18"/>
                <w:szCs w:val="18"/>
                <w:color w:val="auto"/>
                <w:w w:val="89"/>
              </w:rPr>
              <w:t>261,110</w:t>
            </w:r>
          </w:p>
        </w:tc>
        <w:tc>
          <w:tcPr>
            <w:tcW w:w="5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22.24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60" w:type="dxa"/>
            <w:vAlign w:val="bottom"/>
            <w:gridSpan w:val="3"/>
          </w:tcPr>
          <w:p>
            <w:pPr>
              <w:spacing w:after="0"/>
              <w:rPr>
                <w:sz w:val="17"/>
                <w:szCs w:val="17"/>
                <w:color w:val="auto"/>
              </w:rPr>
            </w:pPr>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no. of options granted</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1,031,700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60" w:type="dxa"/>
            <w:vAlign w:val="bottom"/>
            <w:gridSpan w:val="3"/>
          </w:tcPr>
          <w:p>
            <w:pPr>
              <w:spacing w:after="0"/>
              <w:rPr>
                <w:sz w:val="20"/>
                <w:szCs w:val="20"/>
                <w:color w:val="auto"/>
              </w:rPr>
            </w:pPr>
            <w:r>
              <w:rPr>
                <w:rFonts w:ascii="Arial" w:cs="Arial" w:eastAsia="Arial" w:hAnsi="Arial"/>
                <w:sz w:val="18"/>
                <w:szCs w:val="18"/>
                <w:color w:val="auto"/>
              </w:rPr>
              <w:t>Total no. of options forfeited</w:t>
            </w:r>
          </w:p>
        </w:tc>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gridSpan w:val="3"/>
          </w:tcPr>
          <w:p>
            <w:pPr>
              <w:jc w:val="right"/>
              <w:ind w:right="120"/>
              <w:spacing w:after="0"/>
              <w:rPr>
                <w:sz w:val="20"/>
                <w:szCs w:val="20"/>
                <w:color w:val="auto"/>
              </w:rPr>
            </w:pPr>
            <w:r>
              <w:rPr>
                <w:rFonts w:ascii="Arial" w:cs="Arial" w:eastAsia="Arial" w:hAnsi="Arial"/>
                <w:sz w:val="18"/>
                <w:szCs w:val="18"/>
                <w:color w:val="auto"/>
              </w:rPr>
              <w:t>(49,900)</w:t>
            </w:r>
          </w:p>
        </w:tc>
        <w:tc>
          <w:tcPr>
            <w:tcW w:w="0" w:type="dxa"/>
            <w:vAlign w:val="bottom"/>
          </w:tcPr>
          <w:p>
            <w:pPr>
              <w:spacing w:after="0"/>
              <w:rPr>
                <w:sz w:val="1"/>
                <w:szCs w:val="1"/>
                <w:color w:val="auto"/>
              </w:rPr>
            </w:pPr>
          </w:p>
        </w:tc>
      </w:tr>
      <w:tr>
        <w:trPr>
          <w:trHeight w:val="237"/>
        </w:trPr>
        <w:tc>
          <w:tcPr>
            <w:tcW w:w="3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no. of options outstanding</w:t>
            </w:r>
          </w:p>
        </w:tc>
        <w:tc>
          <w:tcPr>
            <w:tcW w:w="1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5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981,710</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80" w:type="dxa"/>
            <w:vAlign w:val="bottom"/>
            <w:tcBorders>
              <w:top w:val="single" w:sz="8" w:color="CCEEFF"/>
            </w:tcBorders>
            <w:gridSpan w:val="4"/>
          </w:tcPr>
          <w:p>
            <w:pPr>
              <w:spacing w:after="0" w:line="201" w:lineRule="exact"/>
              <w:rPr>
                <w:sz w:val="20"/>
                <w:szCs w:val="20"/>
                <w:color w:val="auto"/>
              </w:rPr>
            </w:pPr>
            <w:r>
              <w:rPr>
                <w:rFonts w:ascii="Arial" w:cs="Arial" w:eastAsia="Arial" w:hAnsi="Arial"/>
                <w:sz w:val="18"/>
                <w:szCs w:val="18"/>
                <w:color w:val="auto"/>
              </w:rPr>
              <w:t>Shares issuable upon exercise of outstanding options as</w:t>
            </w:r>
          </w:p>
        </w:tc>
        <w:tc>
          <w:tcPr>
            <w:tcW w:w="2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gridSpan w:val="3"/>
          </w:tcPr>
          <w:p>
            <w:pPr>
              <w:ind w:left="180"/>
              <w:spacing w:after="0"/>
              <w:rPr>
                <w:sz w:val="20"/>
                <w:szCs w:val="20"/>
                <w:color w:val="auto"/>
              </w:rPr>
            </w:pPr>
            <w:r>
              <w:rPr>
                <w:rFonts w:ascii="Arial" w:cs="Arial" w:eastAsia="Arial" w:hAnsi="Arial"/>
                <w:sz w:val="18"/>
                <w:szCs w:val="18"/>
                <w:color w:val="auto"/>
                <w:w w:val="89"/>
              </w:rPr>
              <w:t>percentage of common stock outstanding</w:t>
            </w:r>
          </w:p>
        </w:tc>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ectPr>
          <w:pgSz w:w="11900" w:h="16838" w:orient="portrait"/>
          <w:cols w:equalWidth="0" w:num="1">
            <w:col w:w="11380"/>
          </w:cols>
          <w:pgMar w:left="240" w:top="449" w:right="279" w:bottom="0" w:gutter="0" w:footer="0" w:header="0"/>
        </w:sectPr>
      </w:pPr>
    </w:p>
    <w:bookmarkStart w:id="1" w:name="page2"/>
    <w:bookmarkEnd w:id="1"/>
    <w:p>
      <w:pPr>
        <w:ind w:right="360" w:firstLine="1297"/>
        <w:spacing w:after="0" w:line="342" w:lineRule="auto"/>
        <w:rPr>
          <w:sz w:val="20"/>
          <w:szCs w:val="20"/>
          <w:color w:val="auto"/>
        </w:rPr>
      </w:pPr>
      <w:r>
        <w:rPr>
          <w:rFonts w:ascii="Arial" w:cs="Arial" w:eastAsia="Arial" w:hAnsi="Arial"/>
          <w:sz w:val="16"/>
          <w:szCs w:val="16"/>
          <w:color w:val="auto"/>
        </w:rPr>
        <w:t>The Company advises the Staff that the fair value of its common stock was based on third-party valuation analyses. The Company also notes the following factors that are relevant in explaining the increase in the fair value of the common stock since the first grant date:</w:t>
      </w:r>
    </w:p>
    <w:p>
      <w:pPr>
        <w:spacing w:after="0" w:line="124" w:lineRule="exact"/>
        <w:rPr>
          <w:sz w:val="20"/>
          <w:szCs w:val="20"/>
          <w:color w:val="auto"/>
        </w:rPr>
      </w:pPr>
    </w:p>
    <w:p>
      <w:pPr>
        <w:jc w:val="both"/>
        <w:ind w:left="660" w:right="100" w:hanging="328"/>
        <w:spacing w:after="0" w:line="259"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has made significant progress in executing its primary strategic objective to transform BankUnited, a federal savings association (the “</w:t>
      </w:r>
      <w:r>
        <w:rPr>
          <w:rFonts w:ascii="Arial" w:cs="Arial" w:eastAsia="Arial" w:hAnsi="Arial"/>
          <w:sz w:val="18"/>
          <w:szCs w:val="18"/>
          <w:u w:val="single" w:color="auto"/>
          <w:color w:val="auto"/>
        </w:rPr>
        <w:t>Bank</w:t>
      </w:r>
      <w:r>
        <w:rPr>
          <w:rFonts w:ascii="Arial" w:cs="Arial" w:eastAsia="Arial" w:hAnsi="Arial"/>
          <w:sz w:val="18"/>
          <w:szCs w:val="18"/>
          <w:color w:val="auto"/>
        </w:rPr>
        <w:t>”), to a service-driven, relationship-based, business-focused bank, including a redesign of the Bank’s underwriting functions, improvement of the Bank’s information technology systems and optimization of the Bank’s existing branch network, which has resulted in substantial improvements in the Company’s business since the Acquisition;</w:t>
      </w:r>
    </w:p>
    <w:p>
      <w:pPr>
        <w:spacing w:after="0" w:line="186"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has increased its tangible book value;</w:t>
      </w:r>
    </w:p>
    <w:p>
      <w:pPr>
        <w:spacing w:after="0" w:line="225" w:lineRule="exact"/>
        <w:rPr>
          <w:rFonts w:ascii="Arial" w:cs="Arial" w:eastAsia="Arial" w:hAnsi="Arial"/>
          <w:sz w:val="18"/>
          <w:szCs w:val="18"/>
          <w:color w:val="auto"/>
        </w:rPr>
      </w:pPr>
    </w:p>
    <w:p>
      <w:pPr>
        <w:ind w:left="660" w:right="600" w:hanging="328"/>
        <w:spacing w:after="0" w:line="342" w:lineRule="auto"/>
        <w:tabs>
          <w:tab w:leader="none" w:pos="624"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Company has recruited a new executive management team and enhanced its middle management team, which facilitated execution of the Company’s business plan and allowed the Company to capitalize on opportunities and better navigate risks in the market;</w:t>
      </w:r>
    </w:p>
    <w:p>
      <w:pPr>
        <w:spacing w:after="0" w:line="123" w:lineRule="exact"/>
        <w:rPr>
          <w:rFonts w:ascii="Arial" w:cs="Arial" w:eastAsia="Arial" w:hAnsi="Arial"/>
          <w:sz w:val="16"/>
          <w:szCs w:val="16"/>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began paying dividends in October 2010;</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Continuation of the Company’s growth trend;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660" w:right="200" w:hanging="328"/>
        <w:spacing w:after="0" w:line="277"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completion of the IPO will provide the Company with additional capital, enable the Company to access the public capital markets in the future and raise its overall business profile;</w:t>
      </w:r>
    </w:p>
    <w:p>
      <w:pPr>
        <w:spacing w:after="0" w:line="170" w:lineRule="exact"/>
        <w:rPr>
          <w:rFonts w:ascii="Arial" w:cs="Arial" w:eastAsia="Arial" w:hAnsi="Arial"/>
          <w:sz w:val="18"/>
          <w:szCs w:val="18"/>
          <w:color w:val="auto"/>
        </w:rPr>
      </w:pPr>
    </w:p>
    <w:p>
      <w:pPr>
        <w:ind w:left="660" w:hanging="328"/>
        <w:spacing w:after="0" w:line="277" w:lineRule="auto"/>
        <w:tabs>
          <w:tab w:leader="none" w:pos="651"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There has been a reduction in risk-free rates and an increase in expected volatility — key metrics used in the Black-Scholes option pricing model that the Company’s third-party advisors use to value its options; and</w:t>
      </w:r>
    </w:p>
    <w:p>
      <w:pPr>
        <w:spacing w:after="0" w:line="170" w:lineRule="exact"/>
        <w:rPr>
          <w:rFonts w:ascii="Arial" w:cs="Arial" w:eastAsia="Arial" w:hAnsi="Arial"/>
          <w:sz w:val="18"/>
          <w:szCs w:val="18"/>
          <w:color w:val="auto"/>
        </w:rPr>
      </w:pPr>
    </w:p>
    <w:p>
      <w:pPr>
        <w:ind w:left="660" w:hanging="328"/>
        <w:spacing w:after="0" w:line="264"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Stock values across the banking industry have increased, driven, in large part, by the easing of the financial crisis and increased clarity related to bank regulation. The Keefe, Bruyette &amp; Wood Bank Index, a benchmark index used to track the performance of the banking industry, is up 185% from its March 2009 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-1635125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1" w:lineRule="exact"/>
        <w:rPr>
          <w:sz w:val="20"/>
          <w:szCs w:val="20"/>
          <w:color w:val="auto"/>
        </w:rPr>
      </w:pPr>
    </w:p>
    <w:p>
      <w:pPr>
        <w:ind w:right="500" w:firstLine="1297"/>
        <w:spacing w:after="0" w:line="277" w:lineRule="auto"/>
        <w:rPr>
          <w:sz w:val="20"/>
          <w:szCs w:val="20"/>
          <w:color w:val="auto"/>
        </w:rPr>
      </w:pPr>
      <w:r>
        <w:rPr>
          <w:rFonts w:ascii="Arial" w:cs="Arial" w:eastAsia="Arial" w:hAnsi="Arial"/>
          <w:sz w:val="18"/>
          <w:szCs w:val="18"/>
          <w:color w:val="auto"/>
        </w:rPr>
        <w:t>We currently expect that the preliminary prospectus included in the next amendment will be the preliminary prospectus which will be initially used for marketing the offering.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you have any questions or require any additional information, please telephone the undersigned at (212) 735-4112 or Dwight S. Yoo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(212) 735-2573.</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Richard B. Aftanas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B. Aftanas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780" w:right="6540" w:hanging="772"/>
        <w:spacing w:after="0" w:line="288" w:lineRule="auto"/>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Paul Cline, Securities and Exchange Commission Kevin W. Vaughn, Securities and Exchange Commission David Lin, Securities and Exchange Commission</w:t>
      </w:r>
    </w:p>
    <w:p>
      <w:pPr>
        <w:ind w:left="780"/>
        <w:spacing w:after="0"/>
        <w:rPr>
          <w:rFonts w:ascii="Arial" w:cs="Arial" w:eastAsia="Arial" w:hAnsi="Arial"/>
          <w:sz w:val="16"/>
          <w:szCs w:val="16"/>
          <w:color w:val="auto"/>
        </w:rPr>
      </w:pPr>
      <w:r>
        <w:rPr>
          <w:rFonts w:ascii="Arial" w:cs="Arial" w:eastAsia="Arial" w:hAnsi="Arial"/>
          <w:sz w:val="18"/>
          <w:szCs w:val="18"/>
          <w:color w:val="auto"/>
        </w:rPr>
        <w:t>John A. Kanas, BankUnited, Inc.</w:t>
      </w:r>
    </w:p>
    <w:p>
      <w:pPr>
        <w:spacing w:after="0" w:line="9"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8"/>
          <w:szCs w:val="18"/>
          <w:color w:val="auto"/>
        </w:rPr>
        <w:t>Richard D. Truesdell, Jr., Esq.,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2019-12-11T09:37:12Z</dcterms:created>
  <dcterms:modified xsi:type="dcterms:W3CDTF">2019-12-11T09:37:12Z</dcterms:modified>
</cp:coreProperties>
</file>