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0" w:after="120"/>
        <w:jc w:val="center"/>
        <w:rPr/>
      </w:pPr>
      <w:r>
        <w:rPr>
          <w:rFonts w:ascii="Times New Roman;serif" w:hAnsi="Times New Roman;serif"/>
          <w:b/>
          <w:color w:val="000000"/>
          <w:sz w:val="20"/>
        </w:rPr>
        <w:t>For the quarterly period ended</w:t>
      </w:r>
      <w:r>
        <w:rPr>
          <w:color w:val="000000"/>
        </w:rPr>
        <w:t xml:space="preserve"> </w:t>
      </w:r>
      <w:r>
        <w:rPr>
          <w:rFonts w:ascii="Times New Roman;serif" w:hAnsi="Times New Roman;serif"/>
          <w:b/>
          <w:color w:val="000000"/>
          <w:sz w:val="18"/>
        </w:rPr>
        <w:t>March 31, 2026</w:t>
      </w:r>
    </w:p>
    <w:p>
      <w:pPr>
        <w:pStyle w:val="TextBody"/>
        <w:bidi w:val="0"/>
        <w:spacing w:lineRule="auto" w:line="288" w:before="0" w:after="0"/>
        <w:jc w:val="center"/>
        <w:rPr/>
      </w:pPr>
      <w:r>
        <w:rPr>
          <w:rFonts w:ascii="Times New Roman;serif" w:hAnsi="Times New Roman;serif"/>
          <w:b/>
          <w:color w:val="000000"/>
          <w:sz w:val="20"/>
        </w:rPr>
        <w:t>Commission File Number: 001-35039</w:t>
      </w: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BankUnited,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034" w:type="dxa"/>
        <w:jc w:val="center"/>
        <w:tblInd w:w="0" w:type="dxa"/>
        <w:tblLayout w:type="fixed"/>
        <w:tblCellMar>
          <w:top w:w="28" w:type="dxa"/>
          <w:left w:w="28" w:type="dxa"/>
          <w:bottom w:w="28" w:type="dxa"/>
          <w:right w:w="28" w:type="dxa"/>
        </w:tblCellMar>
      </w:tblPr>
      <w:tblGrid>
        <w:gridCol w:w="1124"/>
        <w:gridCol w:w="991"/>
        <w:gridCol w:w="995"/>
        <w:gridCol w:w="403"/>
        <w:gridCol w:w="403"/>
        <w:gridCol w:w="403"/>
        <w:gridCol w:w="791"/>
        <w:gridCol w:w="791"/>
        <w:gridCol w:w="1133"/>
      </w:tblGrid>
      <w:tr>
        <w:trPr/>
        <w:tc>
          <w:tcPr>
            <w:tcW w:w="112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3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27-0162450</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tbl>
      <w:tblPr>
        <w:tblW w:w="5293" w:type="dxa"/>
        <w:jc w:val="left"/>
        <w:tblInd w:w="0" w:type="dxa"/>
        <w:tblLayout w:type="fixed"/>
        <w:tblCellMar>
          <w:top w:w="28" w:type="dxa"/>
          <w:left w:w="28" w:type="dxa"/>
          <w:bottom w:w="28" w:type="dxa"/>
          <w:right w:w="28" w:type="dxa"/>
        </w:tblCellMar>
      </w:tblPr>
      <w:tblGrid>
        <w:gridCol w:w="1060"/>
        <w:gridCol w:w="927"/>
        <w:gridCol w:w="937"/>
        <w:gridCol w:w="369"/>
        <w:gridCol w:w="369"/>
        <w:gridCol w:w="371"/>
        <w:gridCol w:w="110"/>
        <w:gridCol w:w="110"/>
        <w:gridCol w:w="111"/>
        <w:gridCol w:w="272"/>
        <w:gridCol w:w="272"/>
        <w:gridCol w:w="385"/>
      </w:tblGrid>
      <w:tr>
        <w:trPr/>
        <w:tc>
          <w:tcPr>
            <w:tcW w:w="106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14817 Oak Lane</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Miami Lakes</w:t>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FL</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33016</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120"/>
        <w:ind w:left="0" w:right="0" w:firstLine="360"/>
        <w:jc w:val="center"/>
        <w:rPr>
          <w:color w:val="000000"/>
        </w:rPr>
      </w:pPr>
      <w:r>
        <w:rPr>
          <w:color w:val="000000"/>
        </w:rPr>
        <w:t> </w:t>
      </w:r>
    </w:p>
    <w:p>
      <w:pPr>
        <w:pStyle w:val="TextBody"/>
        <w:bidi w:val="0"/>
        <w:spacing w:lineRule="auto" w:line="288" w:before="0" w:after="120"/>
        <w:ind w:left="0" w:right="0" w:firstLine="36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(305) 569-2000</w:t>
      </w:r>
      <w:r>
        <w:rPr>
          <w:color w:val="000000"/>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32" w:type="dxa"/>
        <w:jc w:val="left"/>
        <w:tblInd w:w="0" w:type="dxa"/>
        <w:tblLayout w:type="fixed"/>
        <w:tblCellMar>
          <w:top w:w="28" w:type="dxa"/>
          <w:left w:w="28" w:type="dxa"/>
          <w:bottom w:w="28" w:type="dxa"/>
          <w:right w:w="28" w:type="dxa"/>
        </w:tblCellMar>
      </w:tblPr>
      <w:tblGrid>
        <w:gridCol w:w="894"/>
        <w:gridCol w:w="786"/>
        <w:gridCol w:w="795"/>
        <w:gridCol w:w="109"/>
        <w:gridCol w:w="109"/>
        <w:gridCol w:w="109"/>
        <w:gridCol w:w="454"/>
        <w:gridCol w:w="454"/>
        <w:gridCol w:w="456"/>
        <w:gridCol w:w="109"/>
        <w:gridCol w:w="109"/>
        <w:gridCol w:w="109"/>
        <w:gridCol w:w="947"/>
        <w:gridCol w:w="947"/>
        <w:gridCol w:w="1345"/>
      </w:tblGrid>
      <w:tr>
        <w:trPr/>
        <w:tc>
          <w:tcPr>
            <w:tcW w:w="89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Exchange on Which Registered</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BKU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before="0" w:after="120"/>
        <w:ind w:left="0" w:right="0" w:firstLine="360"/>
        <w:jc w:val="left"/>
        <w:rPr/>
      </w:pPr>
      <w:r>
        <w:rPr/>
      </w:r>
    </w:p>
    <w:p>
      <w:pPr>
        <w:pStyle w:val="TextBody"/>
        <w:bidi w:val="0"/>
        <w:spacing w:lineRule="auto" w:line="288" w:before="0" w:after="12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w:t>
      </w:r>
    </w:p>
    <w:p>
      <w:pPr>
        <w:pStyle w:val="TextBody"/>
        <w:bidi w:val="0"/>
        <w:spacing w:lineRule="auto" w:line="288" w:before="0" w:after="12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805"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25"/>
        <w:gridCol w:w="125"/>
        <w:gridCol w:w="126"/>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20"/>
        <w:jc w:val="left"/>
        <w:rPr/>
      </w:pPr>
      <w:r>
        <w:rPr>
          <w:rFonts w:ascii="Times New Roman;serif" w:hAnsi="Times New Roman;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number of outstanding shares of the registrant common stock, $0.01 par value, as of May 5, 2026 was 72,681,714.</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6860"/>
                <wp:effectExtent l="0" t="0" r="0" b="0"/>
                <wp:wrapNone/>
                <wp:docPr id="1" name="Frame1"/>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16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160"/>
                        <w:ind w:left="0" w:right="0" w:firstLine="36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 Ended March 31,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65" w:type="dxa"/>
        <w:jc w:val="center"/>
        <w:tblInd w:w="0" w:type="dxa"/>
        <w:tblLayout w:type="fixed"/>
        <w:tblCellMar>
          <w:top w:w="28" w:type="dxa"/>
          <w:left w:w="28" w:type="dxa"/>
          <w:bottom w:w="28" w:type="dxa"/>
          <w:right w:w="28" w:type="dxa"/>
        </w:tblCellMar>
      </w:tblPr>
      <w:tblGrid>
        <w:gridCol w:w="335"/>
        <w:gridCol w:w="296"/>
        <w:gridCol w:w="298"/>
        <w:gridCol w:w="2452"/>
        <w:gridCol w:w="2452"/>
        <w:gridCol w:w="2461"/>
        <w:gridCol w:w="167"/>
        <w:gridCol w:w="167"/>
        <w:gridCol w:w="237"/>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a49b4bfa95455a89482770a66c7577_10">
              <w:r>
                <w:rPr>
                  <w:rStyle w:val="InternetLink"/>
                  <w:rFonts w:ascii="Times New Roman;serif" w:hAnsi="Times New Roman;serif"/>
                  <w:b w:val="false"/>
                  <w:color w:val="0000FF"/>
                  <w:sz w:val="20"/>
                  <w:u w:val="single"/>
                </w:rPr>
                <w:t>Glossary of Defined Terms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a49b4bfa95455a89482770a66c7577_10">
              <w:r>
                <w:rPr>
                  <w:rStyle w:val="InternetLink"/>
                  <w:rFonts w:ascii="Times New Roman;serif" w:hAnsi="Times New Roman;serif"/>
                  <w:b w:val="false"/>
                  <w:color w:val="0000FF"/>
                  <w:sz w:val="20"/>
                  <w:u w:val="single"/>
                </w:rPr>
                <w:t>ii</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a49b4bfa95455a89482770a66c7577_136">
              <w:r>
                <w:rPr>
                  <w:rStyle w:val="InternetLink"/>
                  <w:rFonts w:ascii="Times New Roman;serif" w:hAnsi="Times New Roman;serif"/>
                  <w:b/>
                  <w:color w:val="0000FF"/>
                  <w:sz w:val="20"/>
                  <w:u w:val="single"/>
                </w:rPr>
                <w:t>FINANCIAL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a49b4bfa95455a89482770a66c7577_136">
              <w:r>
                <w:rPr>
                  <w:rStyle w:val="InternetLink"/>
                  <w:rFonts w:ascii="Times New Roman;serif" w:hAnsi="Times New Roman;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a49b4bfa95455a89482770a66c7577_151">
              <w:r>
                <w:rPr>
                  <w:rStyle w:val="InternetLink"/>
                  <w:rFonts w:ascii="Times New Roman;serif" w:hAnsi="Times New Roman;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a49b4bfa95455a89482770a66c7577_151">
              <w:r>
                <w:rPr>
                  <w:rStyle w:val="InternetLink"/>
                  <w:rFonts w:ascii="Times New Roman;serif" w:hAnsi="Times New Roman;serif"/>
                  <w:b w:val="false"/>
                  <w:color w:val="0000FF"/>
                  <w:sz w:val="20"/>
                  <w:u w:val="single"/>
                </w:rPr>
                <w:t>1</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a49b4bfa95455a89482770a66c7577_157">
              <w:r>
                <w:rPr>
                  <w:rStyle w:val="InternetLink"/>
                  <w:rFonts w:ascii="Times New Roman;serif" w:hAnsi="Times New Roman;serif"/>
                  <w:b w:val="false"/>
                  <w:color w:val="0000FF"/>
                  <w:sz w:val="20"/>
                  <w:u w:val="single"/>
                </w:rPr>
                <w:t>Consolidated Statements of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a49b4bfa95455a89482770a66c7577_157">
              <w:r>
                <w:rPr>
                  <w:rStyle w:val="InternetLink"/>
                  <w:rFonts w:ascii="Times New Roman;serif" w:hAnsi="Times New Roman;serif"/>
                  <w:b w:val="false"/>
                  <w:color w:val="0000FF"/>
                  <w:sz w:val="20"/>
                  <w:u w:val="single"/>
                </w:rPr>
                <w:t>2</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a49b4bfa95455a89482770a66c7577_160">
              <w:r>
                <w:rPr>
                  <w:rStyle w:val="InternetLink"/>
                  <w:rFonts w:ascii="Times New Roman;serif" w:hAnsi="Times New Roman;serif"/>
                  <w:b w:val="false"/>
                  <w:color w:val="0000FF"/>
                  <w:sz w:val="20"/>
                  <w:u w:val="single"/>
                </w:rPr>
                <w:t>Consolidated Statements of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a49b4bfa95455a89482770a66c7577_160">
              <w:r>
                <w:rPr>
                  <w:rStyle w:val="InternetLink"/>
                  <w:rFonts w:ascii="Times New Roman;serif" w:hAnsi="Times New Roman;serif"/>
                  <w:b w:val="false"/>
                  <w:color w:val="0000FF"/>
                  <w:sz w:val="20"/>
                  <w:u w:val="single"/>
                </w:rPr>
                <w:t>3</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a49b4bfa95455a89482770a66c7577_163">
              <w:r>
                <w:rPr>
                  <w:rStyle w:val="InternetLink"/>
                  <w:rFonts w:ascii="Times New Roman;serif" w:hAnsi="Times New Roman;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a49b4bfa95455a89482770a66c7577_163">
              <w:r>
                <w:rPr>
                  <w:rStyle w:val="InternetLink"/>
                  <w:rFonts w:ascii="Times New Roman;serif" w:hAnsi="Times New Roman;serif"/>
                  <w:b w:val="false"/>
                  <w:color w:val="0000FF"/>
                  <w:sz w:val="20"/>
                  <w:u w:val="single"/>
                </w:rPr>
                <w:t>4</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a49b4bfa95455a89482770a66c7577_346">
              <w:r>
                <w:rPr>
                  <w:rStyle w:val="InternetLink"/>
                  <w:rFonts w:ascii="Times New Roman;serif" w:hAnsi="Times New Roman;serif"/>
                  <w:b w:val="false"/>
                  <w:color w:val="0000FF"/>
                  <w:sz w:val="20"/>
                  <w:u w:val="single"/>
                </w:rPr>
                <w:t>Consolidated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a49b4bfa95455a89482770a66c7577_346">
              <w:r>
                <w:rPr>
                  <w:rStyle w:val="InternetLink"/>
                  <w:rFonts w:ascii="Times New Roman;serif" w:hAnsi="Times New Roman;serif"/>
                  <w:b w:val="false"/>
                  <w:color w:val="0000FF"/>
                  <w:sz w:val="20"/>
                  <w:u w:val="single"/>
                </w:rPr>
                <w:t>6</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a49b4bfa95455a89482770a66c7577_169">
              <w:r>
                <w:rPr>
                  <w:rStyle w:val="InternetLink"/>
                  <w:rFonts w:ascii="Times New Roman;serif" w:hAnsi="Times New Roman;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a49b4bfa95455a89482770a66c7577_169">
              <w:r>
                <w:rPr>
                  <w:rStyle w:val="InternetLink"/>
                  <w:rFonts w:ascii="Times New Roman;serif" w:hAnsi="Times New Roman;serif"/>
                  <w:b w:val="false"/>
                  <w:color w:val="0000FF"/>
                  <w:sz w:val="20"/>
                  <w:u w:val="single"/>
                </w:rPr>
                <w:t>7</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a49b4bfa95455a89482770a66c7577_32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a49b4bfa95455a89482770a66c7577_322">
              <w:r>
                <w:rPr>
                  <w:rStyle w:val="InternetLink"/>
                  <w:rFonts w:ascii="Times New Roman;serif" w:hAnsi="Times New Roman;serif"/>
                  <w:b w:val="false"/>
                  <w:color w:val="0000FF"/>
                  <w:sz w:val="20"/>
                  <w:u w:val="single"/>
                </w:rPr>
                <w:t>32</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a49b4bfa95455a89482770a66c7577_340">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a49b4bfa95455a89482770a66c7577_340">
              <w:r>
                <w:rPr>
                  <w:rStyle w:val="InternetLink"/>
                  <w:rFonts w:ascii="Times New Roman;serif" w:hAnsi="Times New Roman;serif"/>
                  <w:b w:val="false"/>
                  <w:color w:val="0000FF"/>
                  <w:sz w:val="20"/>
                  <w:u w:val="single"/>
                </w:rPr>
                <w:t>59</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a49b4bfa95455a89482770a66c7577_343">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a49b4bfa95455a89482770a66c7577_343">
              <w:r>
                <w:rPr>
                  <w:rStyle w:val="InternetLink"/>
                  <w:rFonts w:ascii="Times New Roman;serif" w:hAnsi="Times New Roman;serif"/>
                  <w:b w:val="false"/>
                  <w:color w:val="0000FF"/>
                  <w:sz w:val="20"/>
                  <w:u w:val="single"/>
                </w:rPr>
                <w:t>59</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a49b4bfa95455a89482770a66c7577_289">
              <w:r>
                <w:rPr>
                  <w:rStyle w:val="InternetLink"/>
                  <w:rFonts w:ascii="Times New Roman;serif" w:hAnsi="Times New Roman;serif"/>
                  <w:b/>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a49b4bfa95455a89482770a66c7577_292">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a49b4bfa95455a89482770a66c7577_292">
              <w:r>
                <w:rPr>
                  <w:rStyle w:val="InternetLink"/>
                  <w:rFonts w:ascii="Times New Roman;serif" w:hAnsi="Times New Roman;serif"/>
                  <w:b w:val="false"/>
                  <w:color w:val="0000FF"/>
                  <w:sz w:val="20"/>
                  <w:u w:val="single"/>
                </w:rPr>
                <w:t>59</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a49b4bfa95455a89482770a66c7577_295">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a49b4bfa95455a89482770a66c7577_295">
              <w:r>
                <w:rPr>
                  <w:rStyle w:val="InternetLink"/>
                  <w:rFonts w:ascii="Times New Roman;serif" w:hAnsi="Times New Roman;serif"/>
                  <w:b w:val="false"/>
                  <w:color w:val="0000FF"/>
                  <w:sz w:val="20"/>
                  <w:u w:val="single"/>
                </w:rPr>
                <w:t>59</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a49b4bfa95455a89482770a66c7577_298">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a49b4bfa95455a89482770a66c7577_298">
              <w:r>
                <w:rPr>
                  <w:rStyle w:val="InternetLink"/>
                  <w:rFonts w:ascii="Times New Roman;serif" w:hAnsi="Times New Roman;serif"/>
                  <w:b w:val="false"/>
                  <w:color w:val="0000FF"/>
                  <w:sz w:val="20"/>
                  <w:u w:val="single"/>
                </w:rPr>
                <w:t>59</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a49b4bfa95455a89482770a66c7577_301">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a49b4bfa95455a89482770a66c7577_301">
              <w:r>
                <w:rPr>
                  <w:rStyle w:val="InternetLink"/>
                  <w:rFonts w:ascii="Times New Roman;serif" w:hAnsi="Times New Roman;serif"/>
                  <w:b w:val="false"/>
                  <w:color w:val="0000FF"/>
                  <w:sz w:val="20"/>
                  <w:u w:val="single"/>
                </w:rPr>
                <w:t>60</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a49b4bfa95455a89482770a66c7577_304">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a49b4bfa95455a89482770a66c7577_304">
              <w:r>
                <w:rPr>
                  <w:rStyle w:val="InternetLink"/>
                  <w:rFonts w:ascii="Times New Roman;serif" w:hAnsi="Times New Roman;serif"/>
                  <w:b w:val="false"/>
                  <w:color w:val="0000FF"/>
                  <w:sz w:val="20"/>
                  <w:u w:val="single"/>
                </w:rPr>
                <w:t>61</w:t>
              </w:r>
            </w:hyperlink>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29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aa49b4bfa95455a89482770a66c7577_307">
              <w:r>
                <w:rPr>
                  <w:rStyle w:val="InternetLink"/>
                  <w:rFonts w:ascii="Times New Roman;serif" w:hAnsi="Times New Roman;serif"/>
                  <w:b/>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a49b4bfa95455a89482770a66c7577_307">
              <w:r>
                <w:rPr>
                  <w:rStyle w:val="InternetLink"/>
                  <w:rFonts w:ascii="Times New Roman;serif" w:hAnsi="Times New Roman;serif"/>
                  <w:b w:val="false"/>
                  <w:color w:val="0000FF"/>
                  <w:sz w:val="20"/>
                  <w:u w:val="single"/>
                </w:rPr>
                <w:t>62</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48285"/>
                <wp:effectExtent l="0" t="0" r="0" b="0"/>
                <wp:wrapNone/>
                <wp:docPr id="2" name="Frame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160" w:after="16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GLOSSARY OF DEFINED TERMS</w:t>
      </w:r>
    </w:p>
    <w:p>
      <w:pPr>
        <w:pStyle w:val="TextBody"/>
        <w:bidi w:val="0"/>
        <w:spacing w:before="0" w:after="0"/>
        <w:jc w:val="center"/>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acronyms and terms may be used throughout this Form 10-Q, including the consolidated financial statements and related notes.</w:t>
      </w:r>
    </w:p>
    <w:tbl>
      <w:tblPr>
        <w:tblW w:w="10205" w:type="dxa"/>
        <w:jc w:val="center"/>
        <w:tblInd w:w="0" w:type="dxa"/>
        <w:tblLayout w:type="fixed"/>
        <w:tblCellMar>
          <w:top w:w="28" w:type="dxa"/>
          <w:left w:w="28" w:type="dxa"/>
          <w:bottom w:w="28" w:type="dxa"/>
          <w:right w:w="28" w:type="dxa"/>
        </w:tblCellMar>
      </w:tblPr>
      <w:tblGrid>
        <w:gridCol w:w="441"/>
        <w:gridCol w:w="385"/>
        <w:gridCol w:w="397"/>
        <w:gridCol w:w="109"/>
        <w:gridCol w:w="109"/>
        <w:gridCol w:w="109"/>
        <w:gridCol w:w="2679"/>
        <w:gridCol w:w="2508"/>
        <w:gridCol w:w="3468"/>
      </w:tblGrid>
      <w:tr>
        <w:trPr/>
        <w:tc>
          <w:tcPr>
            <w:tcW w:w="44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468" w:type="dxa"/>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for sale</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Liability Committee</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Liability Management</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Percentage Yield</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Adjustable rate mortgage</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Business-to-Business</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Business-to-Consumer</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BKU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BankUnited, Inc.</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Owned Life Insurance</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BankUnited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BankUnited, National Association</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BankUnited, National Association</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Bridge Funding Group, Inc.</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FHA and VA insured mortgages from third party servicers who have exercised their right to purchase these loans out of GNMA securitizations</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expected credit losses</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Tier 1 capital</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Core loans including CRE, C&amp;I and mortgage warehouse lending loans</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CPR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Constant prepayment rate</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loans, including non-owner occupied commercial real estate and construction and land</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 loans, including owner-occupied commercial real estate</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DSCR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Service Coverage Ratio</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value of equity</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Deposit Insurance Act</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Deposit Insurance Corporation</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 Funds Rate</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Housing Administration</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Isaac Corporation (credit score)</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Reserve Bank</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generally accepted accounting principles</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GDP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Domestic Product</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GNMA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National Mortgage Association</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Homeowner Association</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Swaps and Derivatives Association</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Loan-to-value</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Metropolitan Statistical Area</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warehouse lending</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76555"/>
                <wp:effectExtent l="0" t="0" r="0" b="0"/>
                <wp:wrapNone/>
                <wp:docPr id="3" name="Frame3"/>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before="0" w:after="40"/>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before="0" w:after="40"/>
                        <w:ind w:left="0" w:right="0" w:firstLine="360"/>
                        <w:jc w:val="center"/>
                        <w:rPr/>
                      </w:pPr>
                      <w:r>
                        <w:rPr/>
                      </w:r>
                    </w:p>
                  </w:txbxContent>
                </v:textbox>
                <w10:wrap type="none"/>
              </v:rect>
            </w:pict>
          </mc:Fallback>
        </mc:AlternateContent>
      </w:r>
    </w:p>
    <w:p>
      <w:pPr>
        <w:pStyle w:val="TextBody"/>
        <w:bidi w:val="0"/>
        <w:spacing w:before="160" w:after="160"/>
        <w:ind w:left="0" w:right="0" w:firstLine="360"/>
        <w:jc w:val="left"/>
        <w:rPr/>
      </w:pPr>
      <w:r>
        <w:rPr/>
      </w:r>
    </w:p>
    <w:tbl>
      <w:tblPr>
        <w:tblW w:w="6133" w:type="dxa"/>
        <w:jc w:val="center"/>
        <w:tblInd w:w="0" w:type="dxa"/>
        <w:tblLayout w:type="fixed"/>
        <w:tblCellMar>
          <w:top w:w="28" w:type="dxa"/>
          <w:left w:w="28" w:type="dxa"/>
          <w:bottom w:w="28" w:type="dxa"/>
          <w:right w:w="28" w:type="dxa"/>
        </w:tblCellMar>
      </w:tblPr>
      <w:tblGrid>
        <w:gridCol w:w="297"/>
        <w:gridCol w:w="262"/>
        <w:gridCol w:w="267"/>
        <w:gridCol w:w="109"/>
        <w:gridCol w:w="109"/>
        <w:gridCol w:w="109"/>
        <w:gridCol w:w="1456"/>
        <w:gridCol w:w="1456"/>
        <w:gridCol w:w="2068"/>
      </w:tblGrid>
      <w:tr>
        <w:trPr/>
        <w:tc>
          <w:tcPr>
            <w:tcW w:w="2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NDFI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Non-depository financial institutions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NIDDA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demand deposits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asset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NRSRO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Nationally recognized statistical rating organization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PCD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Purchased credit-deteriorated</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Pinnacle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Pinnacle Public Finance, Inc.</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PPNR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Pre-tax, pre-provision net revenue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Purchased seasoned loans</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 Estate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 Trust</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Assets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Equity</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Participation Agreement</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Small Business Administration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 York, New Jersey and Connecticut </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guaranteed by the U.S. Department of Veterans Affairs</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76555"/>
                <wp:effectExtent l="0" t="0" r="0" b="0"/>
                <wp:wrapNone/>
                <wp:docPr id="4" name="Frame4"/>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iii</w:t>
                            </w:r>
                          </w:p>
                          <w:p>
                            <w:pPr>
                              <w:pStyle w:val="TextBody"/>
                              <w:bidi w:val="0"/>
                              <w:spacing w:before="0" w:after="40"/>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iii</w:t>
                      </w:r>
                    </w:p>
                    <w:p>
                      <w:pPr>
                        <w:pStyle w:val="TextBody"/>
                        <w:bidi w:val="0"/>
                        <w:spacing w:before="0" w:after="40"/>
                        <w:ind w:left="0" w:right="0" w:firstLine="360"/>
                        <w:jc w:val="center"/>
                        <w:rPr/>
                      </w:pPr>
                      <w:r>
                        <w:rPr/>
                      </w:r>
                    </w:p>
                  </w:txbxContent>
                </v:textbox>
                <w10:wrap type="none"/>
              </v:rect>
            </w:pict>
          </mc:Fallback>
        </mc:AlternateContent>
      </w:r>
    </w:p>
    <w:p>
      <w:pPr>
        <w:pStyle w:val="TextBody"/>
        <w:bidi w:val="0"/>
        <w:spacing w:before="160" w:after="16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695"/>
        <w:gridCol w:w="2217"/>
        <w:gridCol w:w="2118"/>
        <w:gridCol w:w="211"/>
        <w:gridCol w:w="1081"/>
        <w:gridCol w:w="109"/>
        <w:gridCol w:w="109"/>
        <w:gridCol w:w="109"/>
        <w:gridCol w:w="109"/>
        <w:gridCol w:w="211"/>
        <w:gridCol w:w="1081"/>
        <w:gridCol w:w="155"/>
      </w:tblGrid>
      <w:tr>
        <w:trPr/>
        <w:tc>
          <w:tcPr>
            <w:tcW w:w="2695"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9,263,651 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24,273,707 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Allowance for credit losses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net</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23,926,139 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24,053,882 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Bank owned life insurance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equipment,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809,129 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35,358,613 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35,039,451 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Demand deposits:</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9,109,984 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6,189,534 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and money market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10,164,703 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3,888,684 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29,360,100 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29,352,905 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borrowings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32,343,076 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31,985,622 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 400,000,000 shares authorized; 73,354,206 and 74,138,066 shares issued and outstanding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2,970,988 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stockholders' equity </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3,053,829 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stockholders' equity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35,358,613 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35,039,451 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2755"/>
                <wp:effectExtent l="0" t="0" r="0" b="0"/>
                <wp:wrapNone/>
                <wp:docPr id="5" name="Frame5"/>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40"/>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40"/>
                        <w:ind w:left="0" w:right="0" w:firstLine="36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 - UNAUDITED</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8776" w:type="dxa"/>
        <w:jc w:val="left"/>
        <w:tblInd w:w="0" w:type="dxa"/>
        <w:tblLayout w:type="fixed"/>
        <w:tblCellMar>
          <w:top w:w="28" w:type="dxa"/>
          <w:left w:w="28" w:type="dxa"/>
          <w:bottom w:w="28" w:type="dxa"/>
          <w:right w:w="28" w:type="dxa"/>
        </w:tblCellMar>
      </w:tblPr>
      <w:tblGrid>
        <w:gridCol w:w="1602"/>
        <w:gridCol w:w="1409"/>
        <w:gridCol w:w="1414"/>
        <w:gridCol w:w="109"/>
        <w:gridCol w:w="109"/>
        <w:gridCol w:w="191"/>
        <w:gridCol w:w="191"/>
        <w:gridCol w:w="371"/>
        <w:gridCol w:w="1453"/>
        <w:gridCol w:w="191"/>
        <w:gridCol w:w="109"/>
        <w:gridCol w:w="109"/>
        <w:gridCol w:w="109"/>
        <w:gridCol w:w="211"/>
        <w:gridCol w:w="826"/>
        <w:gridCol w:w="109"/>
        <w:gridCol w:w="109"/>
        <w:gridCol w:w="154"/>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736" w:type="dxa"/>
            <w:gridSpan w:val="8"/>
            <w:tcBorders/>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310,162 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106,230 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interest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422,186 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interest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173,199 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income before provision for credit losses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248,987 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credit losses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income after provision for credit losses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224,401 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service charges and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on investment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markets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non-interest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Occupancy and equipment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insurance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operating lease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non-interest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167,363 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81,738 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47980"/>
                <wp:effectExtent l="0" t="0" r="0" b="0"/>
                <wp:wrapNone/>
                <wp:docPr id="6" name="Frame6"/>
                <a:graphic xmlns:a="http://schemas.openxmlformats.org/drawingml/2006/main">
                  <a:graphicData uri="http://schemas.microsoft.com/office/word/2010/wordprocessingShape">
                    <wps:wsp>
                      <wps:cNvSpPr txBox="1"/>
                      <wps:spPr>
                        <a:xfrm>
                          <a:off x="0" y="0"/>
                          <a:ext cx="6480175" cy="347980"/>
                        </a:xfrm>
                        <a:prstGeom prst="rect"/>
                        <a:solidFill>
                          <a:srgbClr val="FFFFFF"/>
                        </a:solidFill>
                      </wps:spPr>
                      <wps:txb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111" w:type="dxa"/>
        <w:jc w:val="left"/>
        <w:tblInd w:w="0" w:type="dxa"/>
        <w:tblLayout w:type="fixed"/>
        <w:tblCellMar>
          <w:top w:w="28" w:type="dxa"/>
          <w:left w:w="28" w:type="dxa"/>
          <w:bottom w:w="28" w:type="dxa"/>
          <w:right w:w="28" w:type="dxa"/>
        </w:tblCellMar>
      </w:tblPr>
      <w:tblGrid>
        <w:gridCol w:w="2085"/>
        <w:gridCol w:w="1829"/>
        <w:gridCol w:w="1846"/>
        <w:gridCol w:w="109"/>
        <w:gridCol w:w="109"/>
        <w:gridCol w:w="207"/>
        <w:gridCol w:w="207"/>
        <w:gridCol w:w="402"/>
        <w:gridCol w:w="1374"/>
        <w:gridCol w:w="207"/>
        <w:gridCol w:w="109"/>
        <w:gridCol w:w="109"/>
        <w:gridCol w:w="109"/>
        <w:gridCol w:w="211"/>
        <w:gridCol w:w="826"/>
        <w:gridCol w:w="109"/>
        <w:gridCol w:w="109"/>
        <w:gridCol w:w="154"/>
      </w:tblGrid>
      <w:tr>
        <w:trPr/>
        <w:tc>
          <w:tcPr>
            <w:tcW w:w="2085"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736" w:type="dxa"/>
            <w:gridSpan w:val="8"/>
            <w:tcBorders/>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investment securities available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unrealized holding gains (losses) arising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net gains realized in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gains (losses) on securities available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unrealized holding gains (losses) arising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net gains realized in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gains (losses)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(13,485)</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48,390 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27380"/>
                <wp:effectExtent l="0" t="0" r="0" b="0"/>
                <wp:wrapNone/>
                <wp:docPr id="7" name="Frame7"/>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160" w:after="160"/>
        <w:ind w:left="0" w:right="0" w:firstLine="360"/>
        <w:jc w:val="left"/>
        <w:rPr/>
      </w:pPr>
      <w:r>
        <w:rPr/>
      </w:r>
    </w:p>
    <w:tbl>
      <w:tblPr>
        <w:tblW w:w="9509" w:type="dxa"/>
        <w:jc w:val="center"/>
        <w:tblInd w:w="0" w:type="dxa"/>
        <w:tblLayout w:type="fixed"/>
        <w:tblCellMar>
          <w:top w:w="28" w:type="dxa"/>
          <w:left w:w="28" w:type="dxa"/>
          <w:bottom w:w="28" w:type="dxa"/>
          <w:right w:w="28" w:type="dxa"/>
        </w:tblCellMar>
      </w:tblPr>
      <w:tblGrid>
        <w:gridCol w:w="2429"/>
        <w:gridCol w:w="2138"/>
        <w:gridCol w:w="2152"/>
        <w:gridCol w:w="237"/>
        <w:gridCol w:w="813"/>
        <w:gridCol w:w="109"/>
        <w:gridCol w:w="109"/>
        <w:gridCol w:w="109"/>
        <w:gridCol w:w="109"/>
        <w:gridCol w:w="211"/>
        <w:gridCol w:w="721"/>
        <w:gridCol w:w="109"/>
        <w:gridCol w:w="109"/>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accretion,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credit losses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 based compensation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loans held for sale,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Daily cash settlement of derivative instruments,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in other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 other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repayments and calls of investment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investment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non-marketable equity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redemption of non-marketable equity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loans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Loan originations and repayments, net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 of loans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Disposition of operating lease equipment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24180"/>
                <wp:effectExtent l="0" t="0" r="0" b="0"/>
                <wp:wrapNone/>
                <wp:docPr id="8" name="Frame8"/>
                <a:graphic xmlns:a="http://schemas.openxmlformats.org/drawingml/2006/main">
                  <a:graphicData uri="http://schemas.microsoft.com/office/word/2010/wordprocessingShape">
                    <wps:wsp>
                      <wps:cNvSpPr txBox="1"/>
                      <wps:spPr>
                        <a:xfrm>
                          <a:off x="0" y="0"/>
                          <a:ext cx="6480175" cy="424180"/>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 UNAUDITED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tbl>
      <w:tblPr>
        <w:tblW w:w="8807" w:type="dxa"/>
        <w:jc w:val="center"/>
        <w:tblInd w:w="0" w:type="dxa"/>
        <w:tblLayout w:type="fixed"/>
        <w:tblCellMar>
          <w:top w:w="28" w:type="dxa"/>
          <w:left w:w="28" w:type="dxa"/>
          <w:bottom w:w="28" w:type="dxa"/>
          <w:right w:w="28" w:type="dxa"/>
        </w:tblCellMar>
      </w:tblPr>
      <w:tblGrid>
        <w:gridCol w:w="2148"/>
        <w:gridCol w:w="1882"/>
        <w:gridCol w:w="1895"/>
        <w:gridCol w:w="211"/>
        <w:gridCol w:w="826"/>
        <w:gridCol w:w="109"/>
        <w:gridCol w:w="109"/>
        <w:gridCol w:w="109"/>
        <w:gridCol w:w="109"/>
        <w:gridCol w:w="211"/>
        <w:gridCol w:w="826"/>
        <w:gridCol w:w="109"/>
        <w:gridCol w:w="109"/>
        <w:gridCol w:w="154"/>
      </w:tblGrid>
      <w:tr>
        <w:trPr/>
        <w:tc>
          <w:tcPr>
            <w:tcW w:w="2148"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increase in deposits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FHLB 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FHLB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paid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in) financing activities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increase (decrease) in cash and cash equivalents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beginning of period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end of period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Supplemental disclosure of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paid, net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Supplemental schedule of 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from loans to loans held for sale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Transfers from operating lease equipment to equipment held for sale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not paid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Unsettled securities trades, net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219,411 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47980"/>
                <wp:effectExtent l="0" t="0" r="0" b="0"/>
                <wp:wrapNone/>
                <wp:docPr id="9" name="Frame9"/>
                <a:graphic xmlns:a="http://schemas.openxmlformats.org/drawingml/2006/main">
                  <a:graphicData uri="http://schemas.microsoft.com/office/word/2010/wordprocessingShape">
                    <wps:wsp>
                      <wps:cNvSpPr txBox="1"/>
                      <wps:spPr>
                        <a:xfrm>
                          <a:off x="0" y="0"/>
                          <a:ext cx="6480175" cy="347980"/>
                        </a:xfrm>
                        <a:prstGeom prst="rect"/>
                        <a:solidFill>
                          <a:srgbClr val="FFFFFF"/>
                        </a:solidFill>
                      </wps:spPr>
                      <wps:txb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26"/>
        <w:gridCol w:w="562"/>
        <w:gridCol w:w="564"/>
        <w:gridCol w:w="480"/>
        <w:gridCol w:w="481"/>
        <w:gridCol w:w="33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225"/>
        <w:gridCol w:w="864"/>
        <w:gridCol w:w="127"/>
        <w:gridCol w:w="109"/>
        <w:gridCol w:w="109"/>
        <w:gridCol w:w="109"/>
        <w:gridCol w:w="196"/>
        <w:gridCol w:w="871"/>
        <w:gridCol w:w="155"/>
      </w:tblGrid>
      <w:tr>
        <w:trPr/>
        <w:tc>
          <w:tcPr>
            <w:tcW w:w="72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74,138,066 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2,970,988 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(189,595)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3,053,829 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($0.33 per common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Equity based compensation, net of shares forfeited and surrendered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506,464 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Repurchase of common stock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(1,290,324)</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73,354,206 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3,008,613 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(203,080)</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3,015,537 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74,748,370 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2,796,440 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(284,541)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2,814,318 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($0.31 per common share)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Equity based compensation, net of shares forfeited and surrendered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493,678 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75,242,048 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2,831,743 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(236,234)</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2,897,582 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47980"/>
                <wp:effectExtent l="0" t="0" r="0" b="0"/>
                <wp:wrapNone/>
                <wp:docPr id="10" name="Frame10"/>
                <a:graphic xmlns:a="http://schemas.openxmlformats.org/drawingml/2006/main">
                  <a:graphicData uri="http://schemas.microsoft.com/office/word/2010/wordprocessingShape">
                    <wps:wsp>
                      <wps:cNvSpPr txBox="1"/>
                      <wps:spPr>
                        <a:xfrm>
                          <a:off x="0" y="0"/>
                          <a:ext cx="6480175" cy="347980"/>
                        </a:xfrm>
                        <a:prstGeom prst="rect"/>
                        <a:solidFill>
                          <a:srgbClr val="FFFFFF"/>
                        </a:solidFill>
                      </wps:spPr>
                      <wps:txb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Basis of Presentation and Summary of Significant Accounting Policies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BankUnited, Inc. is a bank holding company with one wholly-owned subsidiary, BankUnited, collectively, the Company. BankUnited, a national banking association headquartered in Miami Lakes, Florida, provides a full range of commercial lending and both commercial and consumer deposit services through banking centers located in the state of Florida, the New York metropolitan area and Dallas. The Bank offers a full suite of commercial lending and deposit products through regional commercial banking offices in Atlanta, Charlotte and Morristown, New Jersey, and certain commercial lending and deposit products through national platforms.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have been prepared in accordance with generally accepted accounting principles for interim financial information and the instructions to Form 10-Q and Article 10 of Regulation S-X of the SEC. Accordingly, these financial statements do not include all of the information and footnotes required for a fair presentation of financial position, results of operations and cash flows in conformity with GAAP and should be read in conjunction with the Company’s consolidated financial statements and the notes thereto appearing in BKU’s Annual Report on Form 10-K for the year ended December 31, 2025, filed with the SEC. In the opinion of management, all adjustments, consisting of normal recurring adjustments, considered necessary for a fair presentation have been included. Operating results for the three months ended March 31, 2026 are not necessarily indicative of the results that may be expected in future periods.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 single operating segment and thus a single reportable segment. The Company’s CEO is the CODM. While the CODM monitors the revenue streams and deposit and loan balances of its lines of business, the business lines serve a similar base of primarily commercial clients and provide a comparable range of products and services, all managed through similar processes and platforms. The CODM regularly assesses the performance of its single operating and reporting segment and decides how to allocate resources based on net income as reported in the Company’s consolidated statements of income. The CODM reviews expense information at the same level of detail as that disclosed in the Company's consolidated financial statements.</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Accounting Estimates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preparing the consolidated financial statements, management is required to make estimates and assumptions that affect the reported amounts of assets, liabilities, revenues, and expenses and disclosures of contingent assets and liabilities. Actual results could differ significantly from these estimates.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most significant estimate impacting the Company's consolidated financial statements is the ACL.</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Accounting Pronouncements Not Yet Adopted</w:t>
      </w:r>
    </w:p>
    <w:p>
      <w:pPr>
        <w:pStyle w:val="TextBody"/>
        <w:bidi w:val="0"/>
        <w:spacing w:lineRule="auto" w:line="288" w:before="160" w:after="160"/>
        <w:ind w:left="0" w:right="0" w:firstLine="360"/>
        <w:jc w:val="left"/>
        <w:rPr/>
      </w:pPr>
      <w:r>
        <w:rPr>
          <w:rFonts w:ascii="Times New Roman;serif" w:hAnsi="Times New Roman;serif"/>
          <w:b w:val="false"/>
          <w:color w:val="000000"/>
          <w:sz w:val="20"/>
        </w:rPr>
        <w:t>ASU No. 2024-03—</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This ASU requires additional disclosure in interim and annual periods about specific expense categories in the notes to the financial statements. This ASU is effective for the Company for fiscal years beginning after December 15, 2026, and interim periods within fiscal years beginning after December 15, 2027. The adoption of this ASU is not expected to have an impact on the Company's consolidated financial position, results of operations or cash flows but may lead to additional disclosures about expenses in the Notes to the Consolidated Financial Statements.</w:t>
      </w:r>
    </w:p>
    <w:p>
      <w:pPr>
        <w:pStyle w:val="TextBody"/>
        <w:bidi w:val="0"/>
        <w:spacing w:lineRule="auto" w:line="288" w:before="160" w:after="160"/>
        <w:ind w:left="0" w:right="0" w:firstLine="360"/>
        <w:jc w:val="left"/>
        <w:rPr/>
      </w:pPr>
      <w:r>
        <w:rPr>
          <w:rFonts w:ascii="Times New Roman;serif" w:hAnsi="Times New Roman;serif"/>
          <w:b w:val="false"/>
          <w:color w:val="000000"/>
          <w:sz w:val="20"/>
        </w:rPr>
        <w:t>ASU No. 2025-06—</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The ASU eliminates the prior stage-based model for capitalization of internal-use software costs and replaces it with a principles-based approach that requires capitalization once management has approved and committed funding for a project and it is probable the project will be completed and the software will function as intended. The ASU is effective for the Company for interim and annual periods beginning after December 15, 2027, with early adoption permitted. The Company is currently evaluating the impact of this ASU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48285"/>
                <wp:effectExtent l="0" t="0" r="0" b="0"/>
                <wp:wrapNone/>
                <wp:docPr id="11" name="Frame1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160" w:after="160"/>
        <w:ind w:left="0" w:right="0" w:firstLine="360"/>
        <w:jc w:val="left"/>
        <w:rPr/>
      </w:pPr>
      <w:r>
        <w:rPr>
          <w:rFonts w:ascii="Times New Roman;serif" w:hAnsi="Times New Roman;serif"/>
          <w:b w:val="false"/>
          <w:color w:val="000000"/>
          <w:sz w:val="20"/>
        </w:rPr>
        <w:t>ASU 2025</w:t>
        <w:noBreakHyphen/>
        <w:t xml:space="preserve">08 – </w:t>
      </w:r>
      <w:r>
        <w:rPr>
          <w:rFonts w:ascii="Times New Roman;serif" w:hAnsi="Times New Roman;serif"/>
          <w:b w:val="false"/>
          <w:i/>
          <w:color w:val="000000"/>
          <w:sz w:val="20"/>
        </w:rPr>
        <w:t>Financial Instruments—Credit Losses (Topic 326): Purchased Loans</w:t>
      </w:r>
      <w:r>
        <w:rPr>
          <w:rFonts w:ascii="Times New Roman;serif" w:hAnsi="Times New Roman;serif"/>
          <w:b w:val="false"/>
          <w:color w:val="000000"/>
          <w:sz w:val="20"/>
        </w:rPr>
        <w:t>. The ASU amends the accounting for certain acquired loans by expanding the CECL gross</w:t>
        <w:noBreakHyphen/>
        <w:t>up approach—previously applicable only to PCD loans—to a newly defined class of purchased seasoned loans ("PSL"). PSLs generally include non</w:t>
        <w:noBreakHyphen/>
        <w:t>PCD loans acquired in a business combination or those meeting defined seasoning criteria. Under the amended guidance, the Company will recognize the initial allowance for credit losses on PSLs as an adjustment to the loan's amortized cost basis rather than recording a Day 1 provision expense. The ASU is effective for the Company for fiscal years beginning after December 15, 2026, including interim periods within those fiscal years, and will be applied prospectively; early adoption is permitted. The Company is currently evaluating the impact of this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2    Earnings Per Common Share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computation of basic and diluted earnings per common share is presented below for the periods indicated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2175"/>
        <w:gridCol w:w="1867"/>
        <w:gridCol w:w="1882"/>
        <w:gridCol w:w="109"/>
        <w:gridCol w:w="109"/>
        <w:gridCol w:w="195"/>
        <w:gridCol w:w="195"/>
        <w:gridCol w:w="397"/>
        <w:gridCol w:w="1298"/>
        <w:gridCol w:w="195"/>
        <w:gridCol w:w="109"/>
        <w:gridCol w:w="109"/>
        <w:gridCol w:w="109"/>
        <w:gridCol w:w="244"/>
        <w:gridCol w:w="837"/>
        <w:gridCol w:w="109"/>
        <w:gridCol w:w="109"/>
        <w:gridCol w:w="157"/>
      </w:tblGrid>
      <w:tr>
        <w:trPr/>
        <w:tc>
          <w:tcPr>
            <w:tcW w:w="2175"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783" w:type="dxa"/>
            <w:gridSpan w:val="8"/>
            <w:tcBorders/>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
              </w:rPr>
            </w:pPr>
            <w:r>
              <w:rPr>
                <w:rFonts w:ascii="Times New Roman;serif" w:hAnsi="Times New Roman;serif"/>
                <w:b/>
                <w:color w:val="000000"/>
                <w:sz w:val="2"/>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Distributed and undistributed earnings allocated to participating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allocated to common stockholders for 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74,518,354 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74,918,750 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average unvested stock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(1,138,483)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for 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73,379,871 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73,817,342 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allocated to common stockholders for 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 for earnings reallocated from participating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used in calculating 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for 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73,379,871 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73,817,342 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certain share-based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511,677 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shares for 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73,891,548 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74,379,830 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Potentially dilutive unvested shares totaling 1,194,407 and 1,156,257 were outstanding at March 31, 2026 and 2025, respectively, but excluded from the calculation of diluted earnings per common share because their inclusion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48285"/>
                <wp:effectExtent l="0" t="0" r="0" b="0"/>
                <wp:wrapNone/>
                <wp:docPr id="12" name="Frame1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3    Investment Securities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Investment securities include investment securities available for sale and marketable equity securities. The investment securities portfolio consisted of the following at the dates indicated (in thousands):</w:t>
      </w:r>
    </w:p>
    <w:tbl>
      <w:tblPr>
        <w:tblW w:w="10205" w:type="dxa"/>
        <w:jc w:val="left"/>
        <w:tblInd w:w="0" w:type="dxa"/>
        <w:tblLayout w:type="fixed"/>
        <w:tblCellMar>
          <w:top w:w="28" w:type="dxa"/>
          <w:left w:w="28" w:type="dxa"/>
          <w:bottom w:w="28" w:type="dxa"/>
          <w:right w:w="28" w:type="dxa"/>
        </w:tblCellMar>
      </w:tblPr>
      <w:tblGrid>
        <w:gridCol w:w="1624"/>
        <w:gridCol w:w="1356"/>
        <w:gridCol w:w="1361"/>
        <w:gridCol w:w="211"/>
        <w:gridCol w:w="976"/>
        <w:gridCol w:w="109"/>
        <w:gridCol w:w="109"/>
        <w:gridCol w:w="109"/>
        <w:gridCol w:w="109"/>
        <w:gridCol w:w="211"/>
        <w:gridCol w:w="721"/>
        <w:gridCol w:w="109"/>
        <w:gridCol w:w="109"/>
        <w:gridCol w:w="109"/>
        <w:gridCol w:w="109"/>
        <w:gridCol w:w="211"/>
        <w:gridCol w:w="883"/>
        <w:gridCol w:w="109"/>
        <w:gridCol w:w="109"/>
        <w:gridCol w:w="109"/>
        <w:gridCol w:w="109"/>
        <w:gridCol w:w="211"/>
        <w:gridCol w:w="976"/>
        <w:gridCol w:w="156"/>
      </w:tblGrid>
      <w:tr>
        <w:trPr/>
        <w:tc>
          <w:tcPr>
            <w:tcW w:w="162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4568" w:type="dxa"/>
            <w:gridSpan w:val="18"/>
            <w:tcBorders/>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43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43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 for 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residential MBS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2,464,664 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commercial MBS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residential MBS and CMOs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2,516,325 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commercial MBS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2,402,462 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 family real estate-backed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Non-mortgage 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9,773,608 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9,499,543 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Marketable equity securities </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9,505,168 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24"/>
        <w:gridCol w:w="1356"/>
        <w:gridCol w:w="1361"/>
        <w:gridCol w:w="211"/>
        <w:gridCol w:w="976"/>
        <w:gridCol w:w="109"/>
        <w:gridCol w:w="109"/>
        <w:gridCol w:w="109"/>
        <w:gridCol w:w="109"/>
        <w:gridCol w:w="211"/>
        <w:gridCol w:w="721"/>
        <w:gridCol w:w="109"/>
        <w:gridCol w:w="109"/>
        <w:gridCol w:w="109"/>
        <w:gridCol w:w="109"/>
        <w:gridCol w:w="211"/>
        <w:gridCol w:w="883"/>
        <w:gridCol w:w="109"/>
        <w:gridCol w:w="109"/>
        <w:gridCol w:w="109"/>
        <w:gridCol w:w="109"/>
        <w:gridCol w:w="211"/>
        <w:gridCol w:w="976"/>
        <w:gridCol w:w="156"/>
      </w:tblGrid>
      <w:tr>
        <w:trPr/>
        <w:tc>
          <w:tcPr>
            <w:tcW w:w="162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4568" w:type="dxa"/>
            <w:gridSpan w:val="18"/>
            <w:tcBorders/>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43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 for 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residential MBS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commercial MBS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residential MBS and CMOs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2,490,828 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commercial MBS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2,168,110 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 family real estate-backed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Non-mortgage 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9,525,046 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9,257,917 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Marketable equity securities </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9,263,651 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interest receivable on investments totaled $27 million and $30 million at March 31, 2026 and December 31, 2025, respectively, and is included in other assets in the accompanying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48285"/>
                <wp:effectExtent l="0" t="0" r="0" b="0"/>
                <wp:wrapNone/>
                <wp:docPr id="13" name="Frame1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March 31, 2026, contractual maturities of investment securities available for sale, adjusted for anticipated prepayments when applicable, were as follows (in thousands):</w:t>
      </w:r>
    </w:p>
    <w:tbl>
      <w:tblPr>
        <w:tblW w:w="6099" w:type="dxa"/>
        <w:jc w:val="left"/>
        <w:tblInd w:w="0" w:type="dxa"/>
        <w:tblLayout w:type="fixed"/>
        <w:tblCellMar>
          <w:top w:w="28" w:type="dxa"/>
          <w:left w:w="28" w:type="dxa"/>
          <w:bottom w:w="28" w:type="dxa"/>
          <w:right w:w="28" w:type="dxa"/>
        </w:tblCellMar>
      </w:tblPr>
      <w:tblGrid>
        <w:gridCol w:w="1130"/>
        <w:gridCol w:w="995"/>
        <w:gridCol w:w="1010"/>
        <w:gridCol w:w="211"/>
        <w:gridCol w:w="976"/>
        <w:gridCol w:w="109"/>
        <w:gridCol w:w="109"/>
        <w:gridCol w:w="109"/>
        <w:gridCol w:w="109"/>
        <w:gridCol w:w="211"/>
        <w:gridCol w:w="976"/>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9,773,608 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9,499,543 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value of securities pledged as collateral for FHLB advances, public deposits, interest rate swaps and to secure borrowing capacity at the FHLB and FRB totaled $7.4 billion and $8.0 billion at March 31, 2026 and December 31, 2025, respectively.</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gains (losses) on investment securities for the periods indicated (in thousands):</w:t>
      </w:r>
    </w:p>
    <w:tbl>
      <w:tblPr>
        <w:tblW w:w="9752" w:type="dxa"/>
        <w:jc w:val="left"/>
        <w:tblInd w:w="0" w:type="dxa"/>
        <w:tblLayout w:type="fixed"/>
        <w:tblCellMar>
          <w:top w:w="28" w:type="dxa"/>
          <w:left w:w="28" w:type="dxa"/>
          <w:bottom w:w="28" w:type="dxa"/>
          <w:right w:w="28" w:type="dxa"/>
        </w:tblCellMar>
      </w:tblPr>
      <w:tblGrid>
        <w:gridCol w:w="2087"/>
        <w:gridCol w:w="1834"/>
        <w:gridCol w:w="1839"/>
        <w:gridCol w:w="109"/>
        <w:gridCol w:w="109"/>
        <w:gridCol w:w="226"/>
        <w:gridCol w:w="226"/>
        <w:gridCol w:w="439"/>
        <w:gridCol w:w="1281"/>
        <w:gridCol w:w="226"/>
        <w:gridCol w:w="109"/>
        <w:gridCol w:w="109"/>
        <w:gridCol w:w="109"/>
        <w:gridCol w:w="211"/>
        <w:gridCol w:w="466"/>
        <w:gridCol w:w="109"/>
        <w:gridCol w:w="109"/>
        <w:gridCol w:w="154"/>
      </w:tblGrid>
      <w:tr>
        <w:trPr/>
        <w:tc>
          <w:tcPr>
            <w:tcW w:w="2087"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376" w:type="dxa"/>
            <w:gridSpan w:val="8"/>
            <w:tcBorders/>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gains on investment securities AFS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losses on investment securities AFS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 (loss) on marketable equity securities recognized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investment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48285"/>
                <wp:effectExtent l="0" t="0" r="0" b="0"/>
                <wp:wrapNone/>
                <wp:docPr id="14" name="Frame1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aggregate fair value and the aggregate amount by which amortized cost exceeded fair value for investment securities available for sale in unrealized loss positions aggregated by investment category and length of time that individual securities had been in continuous unrealized loss positions at the dates indicated (in thousands):</w:t>
      </w:r>
    </w:p>
    <w:tbl>
      <w:tblPr>
        <w:tblW w:w="10205" w:type="dxa"/>
        <w:jc w:val="left"/>
        <w:tblInd w:w="0" w:type="dxa"/>
        <w:tblLayout w:type="fixed"/>
        <w:tblCellMar>
          <w:top w:w="28" w:type="dxa"/>
          <w:left w:w="28" w:type="dxa"/>
          <w:bottom w:w="28" w:type="dxa"/>
          <w:right w:w="28" w:type="dxa"/>
        </w:tblCellMar>
      </w:tblPr>
      <w:tblGrid>
        <w:gridCol w:w="845"/>
        <w:gridCol w:w="251"/>
        <w:gridCol w:w="252"/>
        <w:gridCol w:w="211"/>
        <w:gridCol w:w="976"/>
        <w:gridCol w:w="109"/>
        <w:gridCol w:w="109"/>
        <w:gridCol w:w="109"/>
        <w:gridCol w:w="109"/>
        <w:gridCol w:w="212"/>
        <w:gridCol w:w="636"/>
        <w:gridCol w:w="109"/>
        <w:gridCol w:w="109"/>
        <w:gridCol w:w="109"/>
        <w:gridCol w:w="109"/>
        <w:gridCol w:w="211"/>
        <w:gridCol w:w="976"/>
        <w:gridCol w:w="109"/>
        <w:gridCol w:w="109"/>
        <w:gridCol w:w="109"/>
        <w:gridCol w:w="109"/>
        <w:gridCol w:w="211"/>
        <w:gridCol w:w="843"/>
        <w:gridCol w:w="109"/>
        <w:gridCol w:w="109"/>
        <w:gridCol w:w="109"/>
        <w:gridCol w:w="109"/>
        <w:gridCol w:w="211"/>
        <w:gridCol w:w="976"/>
        <w:gridCol w:w="109"/>
        <w:gridCol w:w="109"/>
        <w:gridCol w:w="109"/>
        <w:gridCol w:w="109"/>
        <w:gridCol w:w="211"/>
        <w:gridCol w:w="843"/>
        <w:gridCol w:w="160"/>
      </w:tblGrid>
      <w:tr>
        <w:trPr/>
        <w:tc>
          <w:tcPr>
            <w:tcW w:w="84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13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561" w:type="dxa"/>
            <w:gridSpan w:val="30"/>
            <w:tcBorders/>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residential MBS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commercial MBS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residential MBS and CMOs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commercial MBS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(20,392)</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 family real estate-backed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Non-mortgage 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(297,119)</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0"/>
        <w:gridCol w:w="296"/>
        <w:gridCol w:w="297"/>
        <w:gridCol w:w="211"/>
        <w:gridCol w:w="826"/>
        <w:gridCol w:w="109"/>
        <w:gridCol w:w="109"/>
        <w:gridCol w:w="109"/>
        <w:gridCol w:w="109"/>
        <w:gridCol w:w="214"/>
        <w:gridCol w:w="645"/>
        <w:gridCol w:w="110"/>
        <w:gridCol w:w="109"/>
        <w:gridCol w:w="109"/>
        <w:gridCol w:w="109"/>
        <w:gridCol w:w="211"/>
        <w:gridCol w:w="976"/>
        <w:gridCol w:w="109"/>
        <w:gridCol w:w="109"/>
        <w:gridCol w:w="109"/>
        <w:gridCol w:w="109"/>
        <w:gridCol w:w="212"/>
        <w:gridCol w:w="849"/>
        <w:gridCol w:w="109"/>
        <w:gridCol w:w="109"/>
        <w:gridCol w:w="109"/>
        <w:gridCol w:w="109"/>
        <w:gridCol w:w="211"/>
        <w:gridCol w:w="976"/>
        <w:gridCol w:w="109"/>
        <w:gridCol w:w="109"/>
        <w:gridCol w:w="109"/>
        <w:gridCol w:w="109"/>
        <w:gridCol w:w="212"/>
        <w:gridCol w:w="848"/>
        <w:gridCol w:w="160"/>
      </w:tblGrid>
      <w:tr>
        <w:trPr/>
        <w:tc>
          <w:tcPr>
            <w:tcW w:w="88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3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residential MBS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commercial MBS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residential MBS and CMOs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commercial MBS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(19,891)</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 family real estate-backed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Non-mortgage 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(293,851)</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48285"/>
                <wp:effectExtent l="0" t="0" r="0" b="0"/>
                <wp:wrapNone/>
                <wp:docPr id="15" name="Frame1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monitors its investment securities available for sale for credit loss impairment on an individual security basis. No securities were determined to be credit loss impaired during the three months ended March 31, 2026 and 2025. At March 31, 2026, the Company did not have an intent to sell securities that were in significant unrealized loss positions, and it was not more likely than not that the Company would be required to sell these securities before recovery of the amortized cost basis, which may be at maturity. In making this determination, the Company considered its current and projected liquidity position including its ability to pledge securities to generate liquidity, its investment policy as to permissible holdings and concentration limits, regulatory requirements and other relevant factors.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March 31, 2026, 362 securities available for sale were in unrealized loss positions. The amount of unrealized losses related to 109 of these securities was considered insignificant both individually and in the aggregate, totaling approximately $1.0 million and no further analysis with respect to these securities was considered necessary. The basis for concluding that AFS securities were not credit loss impaired and no ACL was considered necessary at March 31, 2026, is further discussed below.</w:t>
      </w:r>
    </w:p>
    <w:p>
      <w:pPr>
        <w:pStyle w:val="TextBody"/>
        <w:bidi w:val="0"/>
        <w:spacing w:lineRule="auto" w:line="288" w:before="160" w:after="160"/>
        <w:ind w:left="0" w:right="0" w:firstLine="360"/>
        <w:jc w:val="left"/>
        <w:rPr/>
      </w:pPr>
      <w:r>
        <w:rPr>
          <w:rFonts w:ascii="Times New Roman;serif" w:hAnsi="Times New Roman;serif"/>
          <w:b w:val="false"/>
          <w:color w:val="000000"/>
          <w:sz w:val="20"/>
        </w:rPr>
        <w:t xml:space="preserve">Unrealized losses were primarily attributable to a sustained higher interest rate environment and in some cases, </w:t>
      </w:r>
      <w:r>
        <w:rPr>
          <w:rFonts w:ascii="Times New Roman;serif" w:hAnsi="Times New Roman;serif"/>
          <w:b w:val="false"/>
          <w:color w:val="000000"/>
          <w:sz w:val="20"/>
          <w:shd w:fill="FFFFFF" w:val="clear"/>
        </w:rPr>
        <w:t xml:space="preserve">wider spreads compared to levels at which securities were purchased. </w:t>
      </w:r>
      <w:r>
        <w:rPr>
          <w:rFonts w:ascii="Times New Roman;serif" w:hAnsi="Times New Roman;serif"/>
          <w:b w:val="false"/>
          <w:color w:val="000000"/>
          <w:sz w:val="20"/>
        </w:rPr>
        <w:t>The investment securities AFS portfolio was in a net unrealized loss position of $274.1 million at March 31, 2026, compared to $267.1 million at December 31, 2025, declining by $6.9 million during the three months ended March 31, 2026. While the majority of securities in the portfolio were floating rate at March 31, 2026, fixed rate securities accounted for the majority of unrealized losses.</w:t>
      </w:r>
    </w:p>
    <w:p>
      <w:pPr>
        <w:pStyle w:val="TextBody"/>
        <w:bidi w:val="0"/>
        <w:spacing w:lineRule="auto" w:line="288" w:before="160" w:after="160"/>
        <w:ind w:left="0" w:right="0" w:firstLine="360"/>
        <w:jc w:val="left"/>
        <w:rPr>
          <w:rFonts w:ascii="Times New Roman;serif" w:hAnsi="Times New Roman;serif"/>
          <w:b/>
          <w:color w:val="000000"/>
          <w:sz w:val="20"/>
          <w:u w:val="single"/>
        </w:rPr>
      </w:pPr>
      <w:r>
        <w:rPr>
          <w:rFonts w:ascii="Times New Roman;serif" w:hAnsi="Times New Roman;serif"/>
          <w:b/>
          <w:color w:val="000000"/>
          <w:sz w:val="20"/>
          <w:u w:val="single"/>
        </w:rPr>
        <w:t>U.S. Government, U.S. Government Agency and Government Sponsored Enterprise Securities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March 31, 2026, 12 U.S. treasury, 40 U.S. Government agency and sponsored enterprise residential MBS, 28 U.S. Government agency and sponsored enterprise commercial MBS and 14 SBA securities were in unrealized loss positions. The timely payment of principal and interest on these securities is explicitly or implicitly guaranteed by the U.S. Government. As such, there is an assumption of zero credit loss and the Company expects to recover the amortized cost basis of these securities.</w:t>
      </w:r>
    </w:p>
    <w:p>
      <w:pPr>
        <w:pStyle w:val="TextBody"/>
        <w:bidi w:val="0"/>
        <w:spacing w:lineRule="auto" w:line="288" w:before="160" w:after="160"/>
        <w:ind w:left="0" w:right="0" w:firstLine="360"/>
        <w:jc w:val="left"/>
        <w:rPr>
          <w:rFonts w:ascii="Times New Roman;serif" w:hAnsi="Times New Roman;serif"/>
          <w:b/>
          <w:color w:val="000000"/>
          <w:sz w:val="20"/>
          <w:u w:val="single"/>
        </w:rPr>
      </w:pPr>
      <w:r>
        <w:rPr>
          <w:rFonts w:ascii="Times New Roman;serif" w:hAnsi="Times New Roman;serif"/>
          <w:b/>
          <w:color w:val="000000"/>
          <w:sz w:val="20"/>
          <w:u w:val="single"/>
        </w:rPr>
        <w:t>Private Label Securities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 of the impaired private label securities had missed principal or interest payments or had been downgraded by a NRSRO at March 31, 2026. The Company performed an analysis comparing the present value of cash flows expected to be collected to the amortized cost basis of impaired securities. This analysis was based on a scenario that we believe to be generally more conservative than our reasonable and supportable economic forecast at March 31, 2026, and incorporated assumptions about voluntary prepayment rates, collateral defaults, delinquencies, severity and other relevant factors as described further below. Our analysis also considered the structural characteristics of each security and the level of credit enhancement provided by that structure.</w:t>
      </w:r>
    </w:p>
    <w:p>
      <w:pPr>
        <w:pStyle w:val="TextBody"/>
        <w:bidi w:val="0"/>
        <w:spacing w:lineRule="auto" w:line="288" w:before="24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Private label residential MBS and CMOs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March 31, 2026, 118 private label residential MBS and CMOs were in unrealized loss positions. Our analysis of cash flows expected to be collected on these securities incorporated assumptions about collateral default rates, voluntary prepayment rates, loss severity, delinquencies and recovery lag. In developing those assumptions, we took into account collateral quality measures such as FICO, LTV, documentation, loan type, property type, agency availability criteria and performing status. We also regularly monitor sector data including home price appreciation, forbearance, delinquency, special servicing and prepay trends as well as other economic data that could be indicative of stress in the sector. Underlying delinquencies in this sector remain low. Our March 31, 2026 analysis projected weighted average collateral losses for impaired securities in this category of 2.8% compared to weighted average credit support of 18.7%. As of March 31, 2026, 91% of impaired securities in this category, based on carrying value, were externally rated AAA, 3% were rated AA, 4% were rated A and one security was not externally rated.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48285"/>
                <wp:effectExtent l="0" t="0" r="0" b="0"/>
                <wp:wrapNone/>
                <wp:docPr id="16" name="Frame1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24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Private label commercial MBS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March 31, 2026, 20 private label commercial MBS were in unrealized loss positions. Our analysis of cash flows expected to be collected on these securities incorporated assumptions about collateral default rates, voluntary prepayment rates, loss severity, delinquencies and recovery lag. In developing those assumptions, we took into account collateral quality and type, loan size, loan purpose and other qualitative factors. We also regularly monitor collateral concentrations, collateral watch lists, bankruptcy data, defeasance data, special servicing trends, delinquency and other economic data that could be indicative of stress in the sector. We consider collateral, deal, sector and tranche level performance as well as maturity and refinance risk. While we have observed some deterioration in collateral performance in this segment, particularly in the office sector, the high credit quality of these securities and adequacy of subordination to cover projected collateral losses supports the conclusion that there is no credit loss impairment. Our March 31, 2026 analysis projected weighted average collateral losses for impaired securities in this category of 7.4% compared to weighted average credit support of 42.1%. As of March 31, 2026, 80% of impaired securities in this category, based on carrying value, were externally rated AAA, 10% were rated AA and 10% were rated A. There was no single-asset, single-borrower exposure.</w:t>
      </w:r>
    </w:p>
    <w:p>
      <w:pPr>
        <w:pStyle w:val="TextBody"/>
        <w:bidi w:val="0"/>
        <w:spacing w:lineRule="auto" w:line="288" w:before="24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Single family real estate-backed securities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At March 31, 2026, five single family real estate-backed securities were in unrealized loss positions. Our analysis of cash flows expected to be collected on these securities incorporated assumptions about collateral default rates, loss severity, delinquencies and recovery lag. We regularly monitor sector data including home price appreciation, forbearance, delinquency and prepay trends as well as other economic data that could be indicative of stress in the sector. We consider collateral, deal, sector and tranche level performance as well as maturity and refinance risk. Our March 31, 2026 analysis projected weighted average collateral losses for this category of 6.4% compared to weighted average credit support of 60.3%. As of March 31, 2026, 55% of impaired securities in this category, based on carrying value, were externally rated AAA and 45% were rated AA. </w:t>
      </w:r>
    </w:p>
    <w:p>
      <w:pPr>
        <w:pStyle w:val="TextBody"/>
        <w:bidi w:val="0"/>
        <w:spacing w:lineRule="auto" w:line="288" w:before="24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Collateralized loan obligations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March 31, 2026, eight collateralized loan obligations were in unrealized loss positions. Unrealized losses totaled less than 1% of total amortized cost of this segment at March 31, 2026. Our analysis of cash flows expected to be collected on these securities incorporated assumptions about collateral default rates, loss severity, and delinquencies, calibrated to take into account idiosyncratic risks associated with the underlying collateral. In developing those assumptions, we took into account each sector’s performance pre-, during and post the 2008 financial crisis. We regularly engage with bond managers to monitor trends in underlying collateral including potential downgrades and subsequent cash flow diversions, liquidity, ratings migration, and any other relevant developments. The high credit quality of these securities and adequacy of subordination to cover projected collateral losses supports the conclusion that there is no credit loss impairment. Our March 31, 2026 analysis projected weighted average collateral losses for impaired securities in this category of 15.1% compared to weighted average credit support of 41.4%. As of March 31, 2026, 87% of the impaired securities in this category, based on carrying value, were externally rated AAA, and 13% were rated AA.</w:t>
      </w:r>
    </w:p>
    <w:p>
      <w:pPr>
        <w:pStyle w:val="TextBody"/>
        <w:bidi w:val="0"/>
        <w:spacing w:lineRule="auto" w:line="288" w:before="24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Non-mortgage asset-backed securities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March 31, 2026, three non-mortgage asset-backed securities were in unrealized loss positions. These securities are backed by student loan collateral. Our analysis of cash flows expected to be collected on these securities incorporated assumptions about collateral default rates, loss severity, delinquencies, voluntary prepayment rates and recovery lag. In developing assumptions, we took into account collateral type, delineated by whether collateral consisted of loans to borrowers in school, refinancing, or a mixture. Our March 31, 2026 analysis projected weighted average collateral losses for impaired securities in this category of 3.4% compared to weighted average credit support of 35.3%. As of March 31, 2026, 21% of the impaired securities in this category, based on carrying value, were externally rated AAA, and 79% were rated AA.</w:t>
      </w:r>
    </w:p>
    <w:p>
      <w:pPr>
        <w:pStyle w:val="TextBody"/>
        <w:bidi w:val="0"/>
        <w:spacing w:lineRule="auto" w:line="288" w:before="160" w:after="160"/>
        <w:ind w:left="0" w:right="0" w:firstLine="360"/>
        <w:jc w:val="left"/>
        <w:rPr>
          <w:rFonts w:ascii="Times New Roman;serif" w:hAnsi="Times New Roman;serif"/>
          <w:b/>
          <w:color w:val="000000"/>
          <w:sz w:val="20"/>
          <w:u w:val="single"/>
        </w:rPr>
      </w:pPr>
      <w:r>
        <w:rPr>
          <w:rFonts w:ascii="Times New Roman;serif" w:hAnsi="Times New Roman;serif"/>
          <w:b/>
          <w:color w:val="000000"/>
          <w:sz w:val="20"/>
          <w:u w:val="single"/>
        </w:rPr>
        <w:t>State and Municipal Obligations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March 31, 2026, five state and municipal obligations were in unrealized loss positions. Our analysis of potential credit loss impairment for these securities incorporates a comprehensive analysis and quantitative score of the underlying obligor's credit worthiness provided by a third-party vendor as well as other relevant qualitative considerations. As of March 31, 2026, 8% of the impaired securities in this category, based on carrying value, were externally rated AAA, and 92% were rated AA.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48285"/>
                <wp:effectExtent l="0" t="0" r="0" b="0"/>
                <wp:wrapNone/>
                <wp:docPr id="17" name="Frame1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4    Loans and Allowance for Credit Losses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Loans consisted of the following at the dates indicated (dollars in thousands):</w:t>
      </w:r>
    </w:p>
    <w:tbl>
      <w:tblPr>
        <w:tblW w:w="10205" w:type="dxa"/>
        <w:jc w:val="left"/>
        <w:tblInd w:w="0" w:type="dxa"/>
        <w:tblLayout w:type="fixed"/>
        <w:tblCellMar>
          <w:top w:w="28" w:type="dxa"/>
          <w:left w:w="28" w:type="dxa"/>
          <w:bottom w:w="28" w:type="dxa"/>
          <w:right w:w="28" w:type="dxa"/>
        </w:tblCellMar>
      </w:tblPr>
      <w:tblGrid>
        <w:gridCol w:w="1150"/>
        <w:gridCol w:w="1001"/>
        <w:gridCol w:w="1004"/>
        <w:gridCol w:w="211"/>
        <w:gridCol w:w="1081"/>
        <w:gridCol w:w="109"/>
        <w:gridCol w:w="109"/>
        <w:gridCol w:w="109"/>
        <w:gridCol w:w="109"/>
        <w:gridCol w:w="393"/>
        <w:gridCol w:w="358"/>
        <w:gridCol w:w="857"/>
        <w:gridCol w:w="109"/>
        <w:gridCol w:w="109"/>
        <w:gridCol w:w="109"/>
        <w:gridCol w:w="211"/>
        <w:gridCol w:w="1081"/>
        <w:gridCol w:w="109"/>
        <w:gridCol w:w="109"/>
        <w:gridCol w:w="109"/>
        <w:gridCol w:w="109"/>
        <w:gridCol w:w="370"/>
        <w:gridCol w:w="344"/>
        <w:gridCol w:w="945"/>
      </w:tblGrid>
      <w:tr>
        <w:trPr/>
        <w:tc>
          <w:tcPr>
            <w:tcW w:w="115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5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714" w:type="dxa"/>
            <w:gridSpan w:val="12"/>
            <w:tcBorders/>
          </w:tcPr>
          <w:p>
            <w:pPr>
              <w:pStyle w:val="TableContents"/>
              <w:bidi w:val="0"/>
              <w:spacing w:before="0" w:after="283"/>
              <w:jc w:val="left"/>
              <w:rPr>
                <w:sz w:val="4"/>
                <w:szCs w:val="4"/>
              </w:rPr>
            </w:pPr>
            <w:r>
              <w:rPr>
                <w:sz w:val="4"/>
                <w:szCs w:val="4"/>
              </w:rPr>
            </w:r>
          </w:p>
        </w:tc>
      </w:tr>
      <w:tr>
        <w:trPr/>
        <w:tc>
          <w:tcPr>
            <w:tcW w:w="3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 of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 of Total Loans</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 commercial real estate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 commercial real estate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Pinnacle - municipal finance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Franchise and equipment finance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warehouse lending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17,278,575 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17,290,707 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 single family residential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insured residential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24,134,929 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23,926,139 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24,053,882 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Premiums, discounts and deferred fees and costs, excluding the non-credit related discount on PCD loans, totaled $23 million and $22 million at March 31, 2026 and December 31, 2025, respectively. The amortized cost of PCD loans totaled $31 million and $32 million at March 31, 2026 and December 31, 2025, respectively.</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Included in loans, net are direct or sales type finance leases totaling $381 million at both March 31, 2026 and December 31, 2025. The amount of income recognized from direct or sales type finance leases for the three months ended March 31, 2026 and 2025 totaled $2.3 million and $2.9 million, respectively, and is included in interest income on loans in the consolidated statements of income.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purchased residential loans totaling $82 million and $96 million, respectively.</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March 31, 2026 and December 31, 2025, the Company had pledged loans with a carrying value of approximately $15.9 billion and $15.6 billion, respectively, as security for FHLB advances and FHLB and Federal Reserve discount window capacity.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interest receivable on loans totaled $115 million and $113 million at March 31, 2026 and December 31, 2025, respectively, and is included in other assets in the accompanying consolidated balance sheets. The amount of interest income reversed on non-accrual loans was not material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48285"/>
                <wp:effectExtent l="0" t="0" r="0" b="0"/>
                <wp:wrapNone/>
                <wp:docPr id="18" name="Frame1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180" w:after="160"/>
        <w:jc w:val="both"/>
        <w:rPr>
          <w:rFonts w:ascii="Times New Roman;serif" w:hAnsi="Times New Roman;serif"/>
          <w:b/>
          <w:color w:val="000000"/>
          <w:sz w:val="20"/>
        </w:rPr>
      </w:pPr>
      <w:r>
        <w:rPr>
          <w:rFonts w:ascii="Times New Roman;serif" w:hAnsi="Times New Roman;serif"/>
          <w:b/>
          <w:color w:val="000000"/>
          <w:sz w:val="20"/>
        </w:rPr>
        <w:t>Allowance for credit losses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Activity in the ACL is summarized below for the periods indicated (in thousands):</w:t>
      </w:r>
    </w:p>
    <w:tbl>
      <w:tblPr>
        <w:tblW w:w="10205" w:type="dxa"/>
        <w:jc w:val="left"/>
        <w:tblInd w:w="0" w:type="dxa"/>
        <w:tblLayout w:type="fixed"/>
        <w:tblCellMar>
          <w:top w:w="28" w:type="dxa"/>
          <w:left w:w="28" w:type="dxa"/>
          <w:bottom w:w="28" w:type="dxa"/>
          <w:right w:w="28" w:type="dxa"/>
        </w:tblCellMar>
      </w:tblPr>
      <w:tblGrid>
        <w:gridCol w:w="474"/>
        <w:gridCol w:w="363"/>
        <w:gridCol w:w="366"/>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109"/>
        <w:gridCol w:w="109"/>
        <w:gridCol w:w="156"/>
      </w:tblGrid>
      <w:tr>
        <w:trPr/>
        <w:tc>
          <w:tcPr>
            <w:tcW w:w="47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701" w:type="dxa"/>
            <w:gridSpan w:val="6"/>
            <w:tcBorders/>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(recovery)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ACL was determined utilizing a 2-year reasonable and supportable forecast period. The quantitative portion of the ACL was determined by weighting three third-party provided economic scenarios.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ACL was 0.87% of total loans at March 31, 2026 compared to 0.91% at December 31, 2025. The two most significant factors impacting the ACL for the three months ended March 31, 2026 were net charge-offs, partially offset by increases in specific reserves. The ACL was also impacted, although to a lesser extent, by an increase in certain qualitative factors and decreases related to (i) improvement in the economic forecast, (ii) changes in portfolio composition and borrower financial performance and (iii) routine modeling and assumption updates.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gross charge-offs during the three months ended March 31, 2026, by year of origination (in thousands):</w:t>
      </w:r>
    </w:p>
    <w:tbl>
      <w:tblPr>
        <w:tblW w:w="10205" w:type="dxa"/>
        <w:jc w:val="left"/>
        <w:tblInd w:w="0" w:type="dxa"/>
        <w:tblLayout w:type="fixed"/>
        <w:tblCellMar>
          <w:top w:w="28" w:type="dxa"/>
          <w:left w:w="28" w:type="dxa"/>
          <w:bottom w:w="28" w:type="dxa"/>
          <w:right w:w="28" w:type="dxa"/>
        </w:tblCellMar>
      </w:tblPr>
      <w:tblGrid>
        <w:gridCol w:w="185"/>
        <w:gridCol w:w="162"/>
        <w:gridCol w:w="164"/>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09"/>
        <w:gridCol w:w="109"/>
        <w:gridCol w:w="109"/>
        <w:gridCol w:w="109"/>
        <w:gridCol w:w="251"/>
        <w:gridCol w:w="555"/>
        <w:gridCol w:w="129"/>
        <w:gridCol w:w="109"/>
        <w:gridCol w:w="109"/>
        <w:gridCol w:w="109"/>
        <w:gridCol w:w="252"/>
        <w:gridCol w:w="739"/>
        <w:gridCol w:w="130"/>
        <w:gridCol w:w="109"/>
        <w:gridCol w:w="109"/>
        <w:gridCol w:w="109"/>
        <w:gridCol w:w="211"/>
        <w:gridCol w:w="721"/>
        <w:gridCol w:w="157"/>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968" w:type="dxa"/>
            <w:gridSpan w:val="42"/>
            <w:tcBorders/>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4" w:type="dxa"/>
            <w:gridSpan w:val="4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 Charge-offs By Loan Origination Year</w:t>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Prior to 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provision for (recovery of) credit losses for the periods indicated (in thousands):</w:t>
      </w:r>
    </w:p>
    <w:tbl>
      <w:tblPr>
        <w:tblW w:w="8626" w:type="dxa"/>
        <w:jc w:val="center"/>
        <w:tblInd w:w="0" w:type="dxa"/>
        <w:tblLayout w:type="fixed"/>
        <w:tblCellMar>
          <w:top w:w="28" w:type="dxa"/>
          <w:left w:w="28" w:type="dxa"/>
          <w:bottom w:w="28" w:type="dxa"/>
          <w:right w:w="28" w:type="dxa"/>
        </w:tblCellMar>
      </w:tblPr>
      <w:tblGrid>
        <w:gridCol w:w="1587"/>
        <w:gridCol w:w="1391"/>
        <w:gridCol w:w="1402"/>
        <w:gridCol w:w="109"/>
        <w:gridCol w:w="109"/>
        <w:gridCol w:w="207"/>
        <w:gridCol w:w="207"/>
        <w:gridCol w:w="402"/>
        <w:gridCol w:w="1374"/>
        <w:gridCol w:w="207"/>
        <w:gridCol w:w="109"/>
        <w:gridCol w:w="109"/>
        <w:gridCol w:w="109"/>
        <w:gridCol w:w="211"/>
        <w:gridCol w:w="721"/>
        <w:gridCol w:w="109"/>
        <w:gridCol w:w="109"/>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related to funded portion of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related to off-balance sheet credit exposures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24,586 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48285"/>
                <wp:effectExtent l="0" t="0" r="0" b="0"/>
                <wp:wrapNone/>
                <wp:docPr id="19" name="Frame1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Credit quality information</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Credit quality of loans held for investment is continuously monitored by dedicated commercial portfolio management and residential credit risk management functions. The Company also has a workout and recovery department that monitors the credit quality of criticized and classified loans and an independent internal credit review function.</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quality indicators for commercial loans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Factors that impact risk inherent in commercial portfolio segments include but are not limited to levels of economic activity or potential disruptions in economic activity, health of the national, regional and to a lesser extent global economies, interest rates, industry trends, demographic trends, inflationary trends, including particularly for commercial real estate loans the cost of insurance, patterns of and trends in customer behavior that influence demand for our borrowers' products and services, and commercial real estate values and related market dynamics. Particularly for the office sector, the evolving impact of hybrid and remote work on vacancies and valuations is a factor. Internal risk ratings are considered the most meaningful indicator of credit quality for commercial loans. Internal risk ratings are one indicator of the likelihood that a borrower will default, are a key factor influencing the level and nature of ongoing monitoring of loans and may impact the estimation of the ACL. Internal risk ratings are updated on a continuous basis. Generally, relationships with balances greater than $3 million are re-evaluated at least annually and more frequently if circumstances indicate that a change in risk rating may be warranted. The special mention rating is considered a transitional rating for loans exhibiting potential credit weaknesses that could result in deterioration of repayment prospects at some future date if not checked or corrected and that deserve management’s close attention. These borrowers may exhibit declining cash flows or revenues or increasing leverage. Loans with well-defined credit weaknesses that may result in a loss if the deficiencies are not corrected are assigned a risk rating of substandard. These borrowers may exhibit payment defaults, inadequate cash flows from current operations, operating losses, increasing balance sheet leverage, project cost overruns, unreasonable construction delays, exhausted interest reserves, declining collateral values, frequent overdrafts or past due real estate taxes. Loans with weaknesses so severe that collection in full is highly questionable or improbable, but because of certain reasonably specific pending factors have not been charged off, are assigned an internal risk rating of doubtful.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48285"/>
                <wp:effectExtent l="0" t="0" r="0" b="0"/>
                <wp:wrapNone/>
                <wp:docPr id="20" name="Frame2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Commercial credit exposure based on internal risk rating (in thousands):</w:t>
      </w:r>
    </w:p>
    <w:tbl>
      <w:tblPr>
        <w:tblW w:w="12313" w:type="dxa"/>
        <w:jc w:val="left"/>
        <w:tblInd w:w="0" w:type="dxa"/>
        <w:tblLayout w:type="fixed"/>
        <w:tblCellMar>
          <w:top w:w="28" w:type="dxa"/>
          <w:left w:w="28" w:type="dxa"/>
          <w:bottom w:w="28" w:type="dxa"/>
          <w:right w:w="28" w:type="dxa"/>
        </w:tblCellMar>
      </w:tblPr>
      <w:tblGrid>
        <w:gridCol w:w="445"/>
        <w:gridCol w:w="308"/>
        <w:gridCol w:w="223"/>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Amortized Cost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Revolving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1,569,642 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6,325,495 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CRE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2,005,257 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6,886,411 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C&amp;I</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8,398,924 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C&amp;I</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2,870,941 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8,885,932 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Pinnacle - municipal finance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Pinnacle - municipal finance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Franchise and equipment finance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Franchise and equipment finance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warehouse lending</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Mortgage warehouse lending</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805,037 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313" w:type="dxa"/>
        <w:jc w:val="left"/>
        <w:tblInd w:w="0" w:type="dxa"/>
        <w:tblLayout w:type="fixed"/>
        <w:tblCellMar>
          <w:top w:w="28" w:type="dxa"/>
          <w:left w:w="28" w:type="dxa"/>
          <w:bottom w:w="28" w:type="dxa"/>
          <w:right w:w="28" w:type="dxa"/>
        </w:tblCellMar>
      </w:tblPr>
      <w:tblGrid>
        <w:gridCol w:w="445"/>
        <w:gridCol w:w="308"/>
        <w:gridCol w:w="223"/>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Amortized Cost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Revolving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1,836,664 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6,145,173 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1,871,387 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6,810,871 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C&amp;I</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1,693,466 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8,513,327 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C&amp;I</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2,954,310 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9,029,475 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Pinnacle - municipal finance</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Pinnacle - municipal finance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619,374 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Franchise and equipment finance</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Franchise and equipment finance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warehouse lending</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Mortgage warehouse lending</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48285"/>
                <wp:effectExtent l="0" t="0" r="0" b="0"/>
                <wp:wrapNone/>
                <wp:docPr id="21" name="Frame2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March 31, 2026 and December 31, 2025, the balance of revolving loans converted to term loans was immaterial.</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criticized and classified commercial loans in aggregate by risk rating category at the dates indicated (in thousands):</w:t>
      </w:r>
    </w:p>
    <w:tbl>
      <w:tblPr>
        <w:tblW w:w="6176" w:type="dxa"/>
        <w:jc w:val="left"/>
        <w:tblInd w:w="0" w:type="dxa"/>
        <w:tblLayout w:type="fixed"/>
        <w:tblCellMar>
          <w:top w:w="28" w:type="dxa"/>
          <w:left w:w="28" w:type="dxa"/>
          <w:bottom w:w="28" w:type="dxa"/>
          <w:right w:w="28" w:type="dxa"/>
        </w:tblCellMar>
      </w:tblPr>
      <w:tblGrid>
        <w:gridCol w:w="851"/>
        <w:gridCol w:w="749"/>
        <w:gridCol w:w="754"/>
        <w:gridCol w:w="211"/>
        <w:gridCol w:w="976"/>
        <w:gridCol w:w="109"/>
        <w:gridCol w:w="109"/>
        <w:gridCol w:w="109"/>
        <w:gridCol w:w="109"/>
        <w:gridCol w:w="109"/>
        <w:gridCol w:w="109"/>
        <w:gridCol w:w="244"/>
        <w:gridCol w:w="1130"/>
        <w:gridCol w:w="126"/>
        <w:gridCol w:w="109"/>
        <w:gridCol w:w="109"/>
        <w:gridCol w:w="109"/>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mention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Substandard - accruing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Substandard - non-accruing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Doubtful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1,198,527 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quality indicators for residential loans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considers delinquency status to be the most meaningful indicator of the credit quality of residential loans, other than government insured residential loans. Delinquency status is updated at least monthly. LTV and FICO scores are also important indicators of credit quality for 1-4 single family residential loans other than government insured loans. FICO scores are generally updated semi-annually, and were most recently updated in the first quarter of 2026. LTVs are typically at origination. Substantially all of the government insured residential loans are government insured Buyout Loans, which the Company buys out of GNMA securitizations upon default. For these loans, traditional measures of credit quality are not particularly relevant considering the guaranteed nature of the loans and the underlying business model. Factors that impact risk inherent in the residential portfolio segment include national and regional economic conditions such as levels of unemployment, wages and interest rates, as well as residential property values.</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1-4 Single Family Residential credit exposure, excluding government insured residential loans, based on delinquency status (in thousands):</w:t>
      </w:r>
    </w:p>
    <w:tbl>
      <w:tblPr>
        <w:tblW w:w="10390" w:type="dxa"/>
        <w:jc w:val="center"/>
        <w:tblInd w:w="0" w:type="dxa"/>
        <w:tblLayout w:type="fixed"/>
        <w:tblCellMar>
          <w:top w:w="28" w:type="dxa"/>
          <w:left w:w="28" w:type="dxa"/>
          <w:bottom w:w="28" w:type="dxa"/>
          <w:right w:w="28" w:type="dxa"/>
        </w:tblCellMar>
      </w:tblPr>
      <w:tblGrid>
        <w:gridCol w:w="526"/>
        <w:gridCol w:w="226"/>
        <w:gridCol w:w="164"/>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Days Past Due</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4,334,418 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5,896,868 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30 - 59 Days Past Due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60 - 89 Days Past Due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90 Days or More Past Due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4,390,800 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5,972,932 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615" w:type="dxa"/>
        <w:jc w:val="center"/>
        <w:tblInd w:w="0" w:type="dxa"/>
        <w:tblLayout w:type="fixed"/>
        <w:tblCellMar>
          <w:top w:w="28" w:type="dxa"/>
          <w:left w:w="28" w:type="dxa"/>
          <w:bottom w:w="28" w:type="dxa"/>
          <w:right w:w="28" w:type="dxa"/>
        </w:tblCellMar>
      </w:tblPr>
      <w:tblGrid>
        <w:gridCol w:w="526"/>
        <w:gridCol w:w="226"/>
        <w:gridCol w:w="164"/>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Days Past Due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6,021,772 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30 - 59 Days Past Due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60 - 89 Days Past Due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90 Days or More Past Due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6,091,959 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48285"/>
                <wp:effectExtent l="0" t="0" r="0" b="0"/>
                <wp:wrapNone/>
                <wp:docPr id="22" name="Frame2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1-4 Single Family Residential credit exposure, excluding government insured residential loans, based on LTV (in thousands): </w:t>
      </w:r>
    </w:p>
    <w:tbl>
      <w:tblPr>
        <w:tblW w:w="10205" w:type="dxa"/>
        <w:jc w:val="center"/>
        <w:tblInd w:w="0" w:type="dxa"/>
        <w:tblLayout w:type="fixed"/>
        <w:tblCellMar>
          <w:top w:w="28" w:type="dxa"/>
          <w:left w:w="28" w:type="dxa"/>
          <w:bottom w:w="28" w:type="dxa"/>
          <w:right w:w="28" w:type="dxa"/>
        </w:tblCellMar>
      </w:tblPr>
      <w:tblGrid>
        <w:gridCol w:w="270"/>
        <w:gridCol w:w="229"/>
        <w:gridCol w:w="230"/>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6"/>
      </w:tblGrid>
      <w:tr>
        <w:trPr/>
        <w:tc>
          <w:tcPr>
            <w:tcW w:w="2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LTV</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than 61%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1,965,978 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61% - 70%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71% - 80%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2,328,514 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More than 80%</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4,390,800 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5,972,932 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10" w:type="dxa"/>
        <w:jc w:val="center"/>
        <w:tblInd w:w="0" w:type="dxa"/>
        <w:tblLayout w:type="fixed"/>
        <w:tblCellMar>
          <w:top w:w="28" w:type="dxa"/>
          <w:left w:w="28" w:type="dxa"/>
          <w:bottom w:w="28" w:type="dxa"/>
          <w:right w:w="28" w:type="dxa"/>
        </w:tblCellMar>
      </w:tblPr>
      <w:tblGrid>
        <w:gridCol w:w="194"/>
        <w:gridCol w:w="158"/>
        <w:gridCol w:w="15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LTV</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than 61%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2,010,348 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61% - 70%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71% - 80%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More than 80%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6,091,959 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1-4 Single Family Residential credit exposure, excluding government insured residential loans, based on FICO score (in thousands):</w:t>
      </w:r>
    </w:p>
    <w:tbl>
      <w:tblPr>
        <w:tblW w:w="10210" w:type="dxa"/>
        <w:jc w:val="center"/>
        <w:tblInd w:w="0" w:type="dxa"/>
        <w:tblLayout w:type="fixed"/>
        <w:tblCellMar>
          <w:top w:w="28" w:type="dxa"/>
          <w:left w:w="28" w:type="dxa"/>
          <w:bottom w:w="28" w:type="dxa"/>
          <w:right w:w="28" w:type="dxa"/>
        </w:tblCellMar>
      </w:tblPr>
      <w:tblGrid>
        <w:gridCol w:w="352"/>
        <w:gridCol w:w="190"/>
        <w:gridCol w:w="194"/>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FICO</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760 or greater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3,378,969 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720 - 759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719 or less or not available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4,390,800 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5,972,932 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35" w:type="dxa"/>
        <w:jc w:val="center"/>
        <w:tblInd w:w="0" w:type="dxa"/>
        <w:tblLayout w:type="fixed"/>
        <w:tblCellMar>
          <w:top w:w="28" w:type="dxa"/>
          <w:left w:w="28" w:type="dxa"/>
          <w:bottom w:w="28" w:type="dxa"/>
          <w:right w:w="28" w:type="dxa"/>
        </w:tblCellMar>
      </w:tblPr>
      <w:tblGrid>
        <w:gridCol w:w="352"/>
        <w:gridCol w:w="190"/>
        <w:gridCol w:w="194"/>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FICO</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760 or greater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720 - 759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719 or less or not available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2,567,024 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6,091,959 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48285"/>
                <wp:effectExtent l="0" t="0" r="0" b="0"/>
                <wp:wrapNone/>
                <wp:docPr id="23" name="Frame2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417" w:before="1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Past Due and Non-Accrual Loans</w:t>
      </w:r>
    </w:p>
    <w:p>
      <w:pPr>
        <w:pStyle w:val="TextBody"/>
        <w:bidi w:val="0"/>
        <w:spacing w:lineRule="auto" w:line="417" w:before="14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an aging of loans at the dates indicated (in thousands):</w:t>
      </w:r>
    </w:p>
    <w:tbl>
      <w:tblPr>
        <w:tblW w:w="15109" w:type="dxa"/>
        <w:jc w:val="left"/>
        <w:tblInd w:w="0" w:type="dxa"/>
        <w:tblLayout w:type="fixed"/>
        <w:tblCellMar>
          <w:top w:w="28" w:type="dxa"/>
          <w:left w:w="28" w:type="dxa"/>
          <w:bottom w:w="28" w:type="dxa"/>
          <w:right w:w="28" w:type="dxa"/>
        </w:tblCellMar>
      </w:tblPr>
      <w:tblGrid>
        <w:gridCol w:w="406"/>
        <w:gridCol w:w="289"/>
        <w:gridCol w:w="296"/>
        <w:gridCol w:w="196"/>
        <w:gridCol w:w="961"/>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961"/>
        <w:gridCol w:w="109"/>
        <w:gridCol w:w="109"/>
        <w:gridCol w:w="109"/>
        <w:gridCol w:w="109"/>
        <w:gridCol w:w="196"/>
        <w:gridCol w:w="961"/>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961"/>
        <w:gridCol w:w="154"/>
      </w:tblGrid>
      <w:tr>
        <w:trPr/>
        <w:tc>
          <w:tcPr>
            <w:tcW w:w="40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7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484" w:type="dxa"/>
            <w:gridSpan w:val="48"/>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30 - 59</w:t>
              <w:br/>
              <w:t>Days Past</w:t>
              <w:br/>
              <w:t>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60 - 89</w:t>
              <w:br/>
              <w:t>Days Past</w:t>
              <w:br/>
              <w:t>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90 Days or</w:t>
              <w:br/>
              <w:t>More Past</w:t>
              <w:br/>
              <w:t>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Total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30 - 59</w:t>
              <w:br/>
              <w:t>Days Past</w:t>
              <w:br/>
              <w:t>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60 - 89</w:t>
              <w:br/>
              <w:t>Days Past</w:t>
              <w:br/>
              <w:t>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90 Days or</w:t>
              <w:br/>
              <w:t>More Past</w:t>
              <w:br/>
              <w:t>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color w:val="000000"/>
                <w:sz w:val="14"/>
              </w:rPr>
            </w:pPr>
            <w:r>
              <w:rPr>
                <w:rFonts w:ascii="Times New Roman;serif" w:hAnsi="Times New Roman;serif"/>
                <w:b/>
                <w:color w:val="000000"/>
                <w:sz w:val="14"/>
              </w:rPr>
              <w:t>Total Amortized Cost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6,832,422 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6,886,411 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6,768,897 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6,810,871 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C&amp;I</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8,885,932 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8,893,254 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9,029,475 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Pinnacle - municipal finance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Franchise and equipment finance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Mortgage warehouse lending</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728,241 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1-4 single family residential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5,896,868 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6,091,959 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Government insured residential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23,557,424 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24,134,929 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23,738,618 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284,459 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24,273,707 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Included in the table above is the guaranteed portion of SBA loans past due by 90 days or more totaling $30 million ($24 million of C&amp;I and $6 million of CRE) and $34 million at March 31, 2026 and December 31, 2025, respectively.</w:t>
      </w:r>
    </w:p>
    <w:p>
      <w:pPr>
        <w:pStyle w:val="TextBody"/>
        <w:bidi w:val="0"/>
        <w:spacing w:lineRule="auto" w:line="288" w:before="16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Loans contractually delinquent by 90 days or more and still accruing totaled $197 million and $159 million at March 31, 2026 and December 31, 2025, respectively, substantially all of which were government insured residential loans. These loans are Buyout Loans, which the Company buys out of GNMA securitizations upon default.</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loans on non-accrual status at the dates indicated (in thousands):</w:t>
      </w:r>
    </w:p>
    <w:tbl>
      <w:tblPr>
        <w:tblW w:w="10205" w:type="dxa"/>
        <w:jc w:val="center"/>
        <w:tblInd w:w="0" w:type="dxa"/>
        <w:tblLayout w:type="fixed"/>
        <w:tblCellMar>
          <w:top w:w="28" w:type="dxa"/>
          <w:left w:w="28" w:type="dxa"/>
          <w:bottom w:w="28" w:type="dxa"/>
          <w:right w:w="28" w:type="dxa"/>
        </w:tblCellMar>
      </w:tblPr>
      <w:tblGrid>
        <w:gridCol w:w="736"/>
        <w:gridCol w:w="645"/>
        <w:gridCol w:w="656"/>
        <w:gridCol w:w="221"/>
        <w:gridCol w:w="867"/>
        <w:gridCol w:w="114"/>
        <w:gridCol w:w="109"/>
        <w:gridCol w:w="109"/>
        <w:gridCol w:w="109"/>
        <w:gridCol w:w="475"/>
        <w:gridCol w:w="1624"/>
        <w:gridCol w:w="245"/>
        <w:gridCol w:w="109"/>
        <w:gridCol w:w="109"/>
        <w:gridCol w:w="109"/>
        <w:gridCol w:w="221"/>
        <w:gridCol w:w="867"/>
        <w:gridCol w:w="114"/>
        <w:gridCol w:w="109"/>
        <w:gridCol w:w="109"/>
        <w:gridCol w:w="109"/>
        <w:gridCol w:w="430"/>
        <w:gridCol w:w="1688"/>
        <w:gridCol w:w="321"/>
      </w:tblGrid>
      <w:tr>
        <w:trPr/>
        <w:tc>
          <w:tcPr>
            <w:tcW w:w="7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4" w:type="dxa"/>
            <w:gridSpan w:val="3"/>
            <w:tcBorders/>
            <w:vAlign w:val="center"/>
          </w:tcPr>
          <w:p>
            <w:pPr>
              <w:pStyle w:val="TableContents"/>
              <w:bidi w:val="0"/>
              <w:spacing w:before="0" w:after="283"/>
              <w:jc w:val="left"/>
              <w:rPr>
                <w:sz w:val="4"/>
                <w:szCs w:val="4"/>
              </w:rPr>
            </w:pPr>
            <w:r>
              <w:rPr>
                <w:sz w:val="4"/>
                <w:szCs w:val="4"/>
              </w:rPr>
            </w:r>
          </w:p>
        </w:tc>
        <w:tc>
          <w:tcPr>
            <w:tcW w:w="4295" w:type="dxa"/>
            <w:gridSpan w:val="12"/>
            <w:tcBorders/>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With No Related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With No Related Allowance</w:t>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75,487 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74,976 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9" w:type="dxa"/>
            <w:gridSpan w:val="3"/>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Franchise and equipment finance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 single family residential</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274,690 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79,514 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372,618 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165,604 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Included in the table above is the guaranteed portion of non-accrual SBA loans totaling $33.8 million and $37.9 million at March 31, 2026 and December 31, 2025, respectively. The amount of interest income recognized on non-accrual loans was insignificant for the three months ended March 31, 2026 and 2025. The amount of additional interest income that would have been recognized on non-accrual loans had they performed in accordance with their contractual terms was not material for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48285"/>
                <wp:effectExtent l="0" t="0" r="0" b="0"/>
                <wp:wrapNone/>
                <wp:docPr id="24" name="Frame2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Collateral dependent loans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basis of collateral dependent loans at the dates indicated (in thousands):</w:t>
      </w:r>
    </w:p>
    <w:tbl>
      <w:tblPr>
        <w:tblW w:w="10205" w:type="dxa"/>
        <w:jc w:val="left"/>
        <w:tblInd w:w="0" w:type="dxa"/>
        <w:tblLayout w:type="fixed"/>
        <w:tblCellMar>
          <w:top w:w="28" w:type="dxa"/>
          <w:left w:w="28" w:type="dxa"/>
          <w:bottom w:w="28" w:type="dxa"/>
          <w:right w:w="28" w:type="dxa"/>
        </w:tblCellMar>
      </w:tblPr>
      <w:tblGrid>
        <w:gridCol w:w="791"/>
        <w:gridCol w:w="694"/>
        <w:gridCol w:w="705"/>
        <w:gridCol w:w="222"/>
        <w:gridCol w:w="872"/>
        <w:gridCol w:w="114"/>
        <w:gridCol w:w="109"/>
        <w:gridCol w:w="109"/>
        <w:gridCol w:w="109"/>
        <w:gridCol w:w="420"/>
        <w:gridCol w:w="1647"/>
        <w:gridCol w:w="216"/>
        <w:gridCol w:w="109"/>
        <w:gridCol w:w="109"/>
        <w:gridCol w:w="109"/>
        <w:gridCol w:w="222"/>
        <w:gridCol w:w="872"/>
        <w:gridCol w:w="114"/>
        <w:gridCol w:w="109"/>
        <w:gridCol w:w="109"/>
        <w:gridCol w:w="109"/>
        <w:gridCol w:w="412"/>
        <w:gridCol w:w="1616"/>
        <w:gridCol w:w="307"/>
      </w:tblGrid>
      <w:tr>
        <w:trPr/>
        <w:tc>
          <w:tcPr>
            <w:tcW w:w="7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Extent to Which Secured by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Extent to Which Secured by Collateral</w:t>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5"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74,144 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112,071 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120,152 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142,356 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5"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Franchise and equipment finance </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5"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5"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236,617 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195,436 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285,232 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256,943 </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Collateral for the CRE loan class generally consists of commercial real estate, or for certain construction loans, residential real estate. Collateral for C&amp;I loans generally consists of equipment, accounts receivable, inventory and other business assets and for owner-occupied commercial real estate loans, may also include commercial real estate. Franchise and equipment finance loans may be collateralized by franchise value or by equipment. There were no significant changes to the extent to which collateral secured collateral dependent loans during the three months ended March 31, 2026.</w:t>
      </w: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Foreclosure of residential real estate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recorded investment in residential loans in the process of foreclosure was $115 million, of which $105 million was government insured at March 31, 2026, and $104 million, of which $96 million was government insured at December 31, 2025. The carrying amount of foreclosed residential real estate included in other assets in the accompanying consolidated balance sheet was insignificant at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Loan Modifications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loans that were modified for borrowers experiencing financial difficulty, by type of modification, during the periods indicated (dollars in thousands):</w:t>
      </w:r>
    </w:p>
    <w:tbl>
      <w:tblPr>
        <w:tblW w:w="12605" w:type="dxa"/>
        <w:jc w:val="left"/>
        <w:tblInd w:w="0" w:type="dxa"/>
        <w:tblLayout w:type="fixed"/>
        <w:tblCellMar>
          <w:top w:w="28" w:type="dxa"/>
          <w:left w:w="28" w:type="dxa"/>
          <w:bottom w:w="28" w:type="dxa"/>
          <w:right w:w="28" w:type="dxa"/>
        </w:tblCellMar>
      </w:tblPr>
      <w:tblGrid>
        <w:gridCol w:w="356"/>
        <w:gridCol w:w="232"/>
        <w:gridCol w:w="238"/>
        <w:gridCol w:w="183"/>
        <w:gridCol w:w="411"/>
        <w:gridCol w:w="112"/>
        <w:gridCol w:w="109"/>
        <w:gridCol w:w="109"/>
        <w:gridCol w:w="109"/>
        <w:gridCol w:w="181"/>
        <w:gridCol w:w="541"/>
        <w:gridCol w:w="109"/>
        <w:gridCol w:w="109"/>
        <w:gridCol w:w="109"/>
        <w:gridCol w:w="109"/>
        <w:gridCol w:w="230"/>
        <w:gridCol w:w="516"/>
        <w:gridCol w:w="140"/>
        <w:gridCol w:w="109"/>
        <w:gridCol w:w="109"/>
        <w:gridCol w:w="109"/>
        <w:gridCol w:w="183"/>
        <w:gridCol w:w="411"/>
        <w:gridCol w:w="112"/>
        <w:gridCol w:w="109"/>
        <w:gridCol w:w="109"/>
        <w:gridCol w:w="109"/>
        <w:gridCol w:w="230"/>
        <w:gridCol w:w="516"/>
        <w:gridCol w:w="140"/>
        <w:gridCol w:w="109"/>
        <w:gridCol w:w="109"/>
        <w:gridCol w:w="109"/>
        <w:gridCol w:w="230"/>
        <w:gridCol w:w="516"/>
        <w:gridCol w:w="140"/>
        <w:gridCol w:w="109"/>
        <w:gridCol w:w="109"/>
        <w:gridCol w:w="109"/>
        <w:gridCol w:w="181"/>
        <w:gridCol w:w="541"/>
        <w:gridCol w:w="109"/>
        <w:gridCol w:w="109"/>
        <w:gridCol w:w="109"/>
        <w:gridCol w:w="109"/>
        <w:gridCol w:w="181"/>
        <w:gridCol w:w="541"/>
        <w:gridCol w:w="109"/>
        <w:gridCol w:w="109"/>
        <w:gridCol w:w="109"/>
        <w:gridCol w:w="109"/>
        <w:gridCol w:w="206"/>
        <w:gridCol w:w="206"/>
        <w:gridCol w:w="399"/>
        <w:gridCol w:w="109"/>
        <w:gridCol w:w="109"/>
        <w:gridCol w:w="109"/>
        <w:gridCol w:w="109"/>
        <w:gridCol w:w="109"/>
        <w:gridCol w:w="109"/>
        <w:gridCol w:w="109"/>
        <w:gridCol w:w="109"/>
        <w:gridCol w:w="109"/>
        <w:gridCol w:w="109"/>
        <w:gridCol w:w="109"/>
        <w:gridCol w:w="109"/>
        <w:gridCol w:w="109"/>
        <w:gridCol w:w="109"/>
        <w:gridCol w:w="109"/>
        <w:gridCol w:w="154"/>
      </w:tblGrid>
      <w:tr>
        <w:trPr/>
        <w:tc>
          <w:tcPr>
            <w:tcW w:w="3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0"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Combination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 Rate Reduction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Term Extension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 than Insignificant Payment Delays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Interest Rate Reduction and 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Interest Rate Reduction and Other than Insignificant Payment Delays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Term Extension and Other than Insignificant Payment Delays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Other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Modified in Portfolio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CRE</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C&amp;I</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1-4 single family residential</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Government insured residential</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(1)Other modifications includes loans that experienced a combination of Interest Rate Reduction, Term Extension and Other than Insignificant Payment Delays.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48285"/>
                <wp:effectExtent l="0" t="0" r="0" b="0"/>
                <wp:wrapNone/>
                <wp:docPr id="25" name="Frame2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tbl>
      <w:tblPr>
        <w:tblW w:w="12084" w:type="dxa"/>
        <w:jc w:val="left"/>
        <w:tblInd w:w="0" w:type="dxa"/>
        <w:tblLayout w:type="fixed"/>
        <w:tblCellMar>
          <w:top w:w="28" w:type="dxa"/>
          <w:left w:w="28" w:type="dxa"/>
          <w:bottom w:w="28" w:type="dxa"/>
          <w:right w:w="28" w:type="dxa"/>
        </w:tblCellMar>
      </w:tblPr>
      <w:tblGrid>
        <w:gridCol w:w="298"/>
        <w:gridCol w:w="261"/>
        <w:gridCol w:w="267"/>
        <w:gridCol w:w="183"/>
        <w:gridCol w:w="411"/>
        <w:gridCol w:w="112"/>
        <w:gridCol w:w="109"/>
        <w:gridCol w:w="109"/>
        <w:gridCol w:w="109"/>
        <w:gridCol w:w="181"/>
        <w:gridCol w:w="541"/>
        <w:gridCol w:w="109"/>
        <w:gridCol w:w="109"/>
        <w:gridCol w:w="109"/>
        <w:gridCol w:w="109"/>
        <w:gridCol w:w="192"/>
        <w:gridCol w:w="576"/>
        <w:gridCol w:w="118"/>
        <w:gridCol w:w="109"/>
        <w:gridCol w:w="109"/>
        <w:gridCol w:w="109"/>
        <w:gridCol w:w="181"/>
        <w:gridCol w:w="466"/>
        <w:gridCol w:w="109"/>
        <w:gridCol w:w="109"/>
        <w:gridCol w:w="109"/>
        <w:gridCol w:w="109"/>
        <w:gridCol w:w="212"/>
        <w:gridCol w:w="546"/>
        <w:gridCol w:w="128"/>
        <w:gridCol w:w="109"/>
        <w:gridCol w:w="109"/>
        <w:gridCol w:w="109"/>
        <w:gridCol w:w="212"/>
        <w:gridCol w:w="546"/>
        <w:gridCol w:w="128"/>
        <w:gridCol w:w="109"/>
        <w:gridCol w:w="109"/>
        <w:gridCol w:w="109"/>
        <w:gridCol w:w="181"/>
        <w:gridCol w:w="406"/>
        <w:gridCol w:w="109"/>
        <w:gridCol w:w="109"/>
        <w:gridCol w:w="109"/>
        <w:gridCol w:w="109"/>
        <w:gridCol w:w="181"/>
        <w:gridCol w:w="541"/>
        <w:gridCol w:w="109"/>
        <w:gridCol w:w="109"/>
        <w:gridCol w:w="109"/>
        <w:gridCol w:w="109"/>
        <w:gridCol w:w="206"/>
        <w:gridCol w:w="206"/>
        <w:gridCol w:w="399"/>
        <w:gridCol w:w="109"/>
        <w:gridCol w:w="109"/>
        <w:gridCol w:w="109"/>
        <w:gridCol w:w="109"/>
        <w:gridCol w:w="109"/>
        <w:gridCol w:w="109"/>
        <w:gridCol w:w="109"/>
        <w:gridCol w:w="109"/>
        <w:gridCol w:w="109"/>
        <w:gridCol w:w="109"/>
        <w:gridCol w:w="109"/>
        <w:gridCol w:w="154"/>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Combination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 Rate Reduction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Term Extension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 than Insignificant Payment Delays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Interest Rate Reduction and 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Interest Rate Reduction and Other than Insignificant Payment Delays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Term Extension and Other than Insignificant Payment Delays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Other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Modified in Portfolio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CRE</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C&amp;I</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Government insured residential</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20,673 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6,949 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53,431 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financial effect of the modifications made to borrowers experiencing difficulty, during the periods indicated:</w:t>
      </w:r>
    </w:p>
    <w:tbl>
      <w:tblPr>
        <w:tblW w:w="10205" w:type="dxa"/>
        <w:jc w:val="left"/>
        <w:tblInd w:w="0" w:type="dxa"/>
        <w:tblLayout w:type="fixed"/>
        <w:tblCellMar>
          <w:top w:w="28" w:type="dxa"/>
          <w:left w:w="28" w:type="dxa"/>
          <w:bottom w:w="28" w:type="dxa"/>
          <w:right w:w="28" w:type="dxa"/>
        </w:tblCellMar>
      </w:tblPr>
      <w:tblGrid>
        <w:gridCol w:w="1135"/>
        <w:gridCol w:w="893"/>
        <w:gridCol w:w="899"/>
        <w:gridCol w:w="109"/>
        <w:gridCol w:w="109"/>
        <w:gridCol w:w="109"/>
        <w:gridCol w:w="2094"/>
        <w:gridCol w:w="2002"/>
        <w:gridCol w:w="2855"/>
      </w:tblGrid>
      <w:tr>
        <w:trPr/>
        <w:tc>
          <w:tcPr>
            <w:tcW w:w="113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r>
      <w:tr>
        <w:trPr/>
        <w:tc>
          <w:tcPr>
            <w:tcW w:w="2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Financial Effect</w:t>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Rate Reduction: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Reduced weighted average contractual interest rate from 11.3% to 9.8%.</w:t>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1-4 single family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Reduced weighted average contractual interest rate from 6.5% to 6.1%.</w:t>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Term Extension: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0.2 year to the term of the modified loans.</w:t>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0.3 year to the term of the modified loans.</w:t>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1"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1"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insured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13.2 years to the term of the modified loans.</w:t>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1"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1"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Combination - Interest Rate Reduction and Term Extension: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1"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1"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1"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1"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insured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Reduced weighted average contractual interest rate from 6.9% to 6.3% and added a weighted average 3.9 years to the term of the modified loans.</w:t>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1"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1"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1"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1"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Reduced weighted average contractual interest rate from 11.7% to 8.2%, added a weighted average 1.9 years to the term of the modified loans, and provided 3.8 years of payment deferral.</w:t>
            </w:r>
          </w:p>
        </w:tc>
      </w:tr>
    </w:tbl>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48285"/>
                <wp:effectExtent l="0" t="0" r="0" b="0"/>
                <wp:wrapNone/>
                <wp:docPr id="26" name="Frame2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46"/>
        <w:gridCol w:w="1251"/>
        <w:gridCol w:w="1254"/>
        <w:gridCol w:w="109"/>
        <w:gridCol w:w="109"/>
        <w:gridCol w:w="109"/>
        <w:gridCol w:w="1762"/>
        <w:gridCol w:w="1675"/>
        <w:gridCol w:w="2390"/>
      </w:tblGrid>
      <w:tr>
        <w:trPr/>
        <w:tc>
          <w:tcPr>
            <w:tcW w:w="15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r>
      <w:tr>
        <w:trPr/>
        <w:tc>
          <w:tcPr>
            <w:tcW w:w="4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Financial Effect</w:t>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Term Extension: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0.3 year to the term of the modified loans.</w:t>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insured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11.3 years to the term of the modified loans.</w:t>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than Insignificant Payment Delays: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Provided 0.8 year of payment deferral.</w:t>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Combination - Interest Rate Reduction and Term Extension: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insured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Reduced weighted average contractual interest rate from 7.4% to 7.3% and added a weighted average 1.2 years to the term of the modified loans.</w:t>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Combination - Interest Rate Reduction and Other than Insignificant Payment Delays: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Reduced weighted average contractual interest rate from 4.3% to 3.5% and provided 0.7 year of payment deferral.</w:t>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Combination - Term Extension and Other than Insignificant Payment Delays: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0.6 year to the term of the modified loans and provided 1.3 years of payment deferral.</w:t>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aging at the dates indicated, of loans that were modified within the previous 12 months (in thousands):</w:t>
      </w:r>
    </w:p>
    <w:tbl>
      <w:tblPr>
        <w:tblW w:w="10205" w:type="dxa"/>
        <w:jc w:val="left"/>
        <w:tblInd w:w="0" w:type="dxa"/>
        <w:tblLayout w:type="fixed"/>
        <w:tblCellMar>
          <w:top w:w="28" w:type="dxa"/>
          <w:left w:w="28" w:type="dxa"/>
          <w:bottom w:w="28" w:type="dxa"/>
          <w:right w:w="28" w:type="dxa"/>
        </w:tblCellMar>
      </w:tblPr>
      <w:tblGrid>
        <w:gridCol w:w="648"/>
        <w:gridCol w:w="476"/>
        <w:gridCol w:w="484"/>
        <w:gridCol w:w="211"/>
        <w:gridCol w:w="826"/>
        <w:gridCol w:w="109"/>
        <w:gridCol w:w="109"/>
        <w:gridCol w:w="109"/>
        <w:gridCol w:w="109"/>
        <w:gridCol w:w="257"/>
        <w:gridCol w:w="752"/>
        <w:gridCol w:w="133"/>
        <w:gridCol w:w="109"/>
        <w:gridCol w:w="109"/>
        <w:gridCol w:w="109"/>
        <w:gridCol w:w="260"/>
        <w:gridCol w:w="762"/>
        <w:gridCol w:w="134"/>
        <w:gridCol w:w="109"/>
        <w:gridCol w:w="109"/>
        <w:gridCol w:w="109"/>
        <w:gridCol w:w="271"/>
        <w:gridCol w:w="928"/>
        <w:gridCol w:w="140"/>
        <w:gridCol w:w="109"/>
        <w:gridCol w:w="109"/>
        <w:gridCol w:w="109"/>
        <w:gridCol w:w="211"/>
        <w:gridCol w:w="826"/>
        <w:gridCol w:w="109"/>
        <w:gridCol w:w="109"/>
        <w:gridCol w:w="109"/>
        <w:gridCol w:w="109"/>
        <w:gridCol w:w="109"/>
        <w:gridCol w:w="109"/>
        <w:gridCol w:w="109"/>
        <w:gridCol w:w="109"/>
        <w:gridCol w:w="109"/>
        <w:gridCol w:w="109"/>
        <w:gridCol w:w="109"/>
        <w:gridCol w:w="109"/>
        <w:gridCol w:w="161"/>
      </w:tblGrid>
      <w:tr>
        <w:trPr/>
        <w:tc>
          <w:tcPr>
            <w:tcW w:w="64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Current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30-59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60-89 Days Past Due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90 Days or More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0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0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0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1-4 single family residential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Government insured residential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22,605 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0"/>
        <w:gridCol w:w="476"/>
        <w:gridCol w:w="484"/>
        <w:gridCol w:w="211"/>
        <w:gridCol w:w="826"/>
        <w:gridCol w:w="109"/>
        <w:gridCol w:w="109"/>
        <w:gridCol w:w="109"/>
        <w:gridCol w:w="109"/>
        <w:gridCol w:w="243"/>
        <w:gridCol w:w="831"/>
        <w:gridCol w:w="125"/>
        <w:gridCol w:w="109"/>
        <w:gridCol w:w="109"/>
        <w:gridCol w:w="109"/>
        <w:gridCol w:w="256"/>
        <w:gridCol w:w="748"/>
        <w:gridCol w:w="132"/>
        <w:gridCol w:w="109"/>
        <w:gridCol w:w="109"/>
        <w:gridCol w:w="109"/>
        <w:gridCol w:w="265"/>
        <w:gridCol w:w="909"/>
        <w:gridCol w:w="137"/>
        <w:gridCol w:w="109"/>
        <w:gridCol w:w="109"/>
        <w:gridCol w:w="109"/>
        <w:gridCol w:w="211"/>
        <w:gridCol w:w="826"/>
        <w:gridCol w:w="109"/>
        <w:gridCol w:w="109"/>
        <w:gridCol w:w="109"/>
        <w:gridCol w:w="109"/>
        <w:gridCol w:w="109"/>
        <w:gridCol w:w="109"/>
        <w:gridCol w:w="109"/>
        <w:gridCol w:w="109"/>
        <w:gridCol w:w="109"/>
        <w:gridCol w:w="109"/>
        <w:gridCol w:w="109"/>
        <w:gridCol w:w="109"/>
        <w:gridCol w:w="160"/>
      </w:tblGrid>
      <w:tr>
        <w:trPr/>
        <w:tc>
          <w:tcPr>
            <w:tcW w:w="64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Current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30-59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60-89 Days Past Due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90 Days or More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Franchise and equipment finance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1-4 single family residential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Government insured residential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48285"/>
                <wp:effectExtent l="0" t="0" r="0" b="0"/>
                <wp:wrapNone/>
                <wp:docPr id="27" name="Frame2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 loans that were modified within the previous 12 months and defaulted during the periods indicated (in thousands):</w:t>
      </w:r>
    </w:p>
    <w:tbl>
      <w:tblPr>
        <w:tblW w:w="10205" w:type="dxa"/>
        <w:jc w:val="left"/>
        <w:tblInd w:w="0" w:type="dxa"/>
        <w:tblLayout w:type="fixed"/>
        <w:tblCellMar>
          <w:top w:w="28" w:type="dxa"/>
          <w:left w:w="28" w:type="dxa"/>
          <w:bottom w:w="28" w:type="dxa"/>
          <w:right w:w="28" w:type="dxa"/>
        </w:tblCellMar>
      </w:tblPr>
      <w:tblGrid>
        <w:gridCol w:w="393"/>
        <w:gridCol w:w="346"/>
        <w:gridCol w:w="348"/>
        <w:gridCol w:w="109"/>
        <w:gridCol w:w="109"/>
        <w:gridCol w:w="201"/>
        <w:gridCol w:w="570"/>
        <w:gridCol w:w="111"/>
        <w:gridCol w:w="109"/>
        <w:gridCol w:w="109"/>
        <w:gridCol w:w="109"/>
        <w:gridCol w:w="109"/>
        <w:gridCol w:w="109"/>
        <w:gridCol w:w="229"/>
        <w:gridCol w:w="652"/>
        <w:gridCol w:w="127"/>
        <w:gridCol w:w="109"/>
        <w:gridCol w:w="109"/>
        <w:gridCol w:w="109"/>
        <w:gridCol w:w="109"/>
        <w:gridCol w:w="109"/>
        <w:gridCol w:w="109"/>
        <w:gridCol w:w="109"/>
        <w:gridCol w:w="109"/>
        <w:gridCol w:w="109"/>
        <w:gridCol w:w="196"/>
        <w:gridCol w:w="556"/>
        <w:gridCol w:w="109"/>
        <w:gridCol w:w="109"/>
        <w:gridCol w:w="109"/>
        <w:gridCol w:w="109"/>
        <w:gridCol w:w="109"/>
        <w:gridCol w:w="109"/>
        <w:gridCol w:w="201"/>
        <w:gridCol w:w="570"/>
        <w:gridCol w:w="111"/>
        <w:gridCol w:w="109"/>
        <w:gridCol w:w="109"/>
        <w:gridCol w:w="109"/>
        <w:gridCol w:w="109"/>
        <w:gridCol w:w="118"/>
        <w:gridCol w:w="244"/>
        <w:gridCol w:w="693"/>
        <w:gridCol w:w="137"/>
        <w:gridCol w:w="109"/>
        <w:gridCol w:w="109"/>
        <w:gridCol w:w="109"/>
        <w:gridCol w:w="109"/>
        <w:gridCol w:w="109"/>
        <w:gridCol w:w="109"/>
        <w:gridCol w:w="196"/>
        <w:gridCol w:w="556"/>
        <w:gridCol w:w="162"/>
      </w:tblGrid>
      <w:tr>
        <w:trPr/>
        <w:tc>
          <w:tcPr>
            <w:tcW w:w="3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7"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5593" w:type="dxa"/>
            <w:gridSpan w:val="29"/>
            <w:tcBorders/>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5"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23" w:type="dxa"/>
            <w:gridSpan w:val="25"/>
            <w:tcBorders/>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Combination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Combination</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4"/>
            <w:tcBorders/>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Extension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Interest Rate Reduction and Term Extension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Extension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Interest Rate Reduction and 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Government insured residential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6,393 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Note 5    Income Taxes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 was 24.3% and 27.0% for the three months ended March 31, 2026 and 2025, respectively. The effective income tax rates differed from the statutory federal income tax rate of 21% for the three months ended March 31, 2026 and 2025 primarily due to the impact of state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6    Derivative Financial Instruments</w:t>
      </w: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interest rate derivatives designated as cash flow hedges with the objective of limiting the variability of interest payment cash flows. Changes in fair value of derivative instruments designated as cash flow hedges are reported in accumulated other comprehensive income.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derivatives designated as hedging instruments as of the dates indicated (in thousands): </w:t>
      </w:r>
    </w:p>
    <w:tbl>
      <w:tblPr>
        <w:tblW w:w="10205" w:type="dxa"/>
        <w:jc w:val="left"/>
        <w:tblInd w:w="0" w:type="dxa"/>
        <w:tblLayout w:type="fixed"/>
        <w:tblCellMar>
          <w:top w:w="28" w:type="dxa"/>
          <w:left w:w="28" w:type="dxa"/>
          <w:bottom w:w="28" w:type="dxa"/>
          <w:right w:w="28" w:type="dxa"/>
        </w:tblCellMar>
      </w:tblPr>
      <w:tblGrid>
        <w:gridCol w:w="863"/>
        <w:gridCol w:w="758"/>
        <w:gridCol w:w="763"/>
        <w:gridCol w:w="215"/>
        <w:gridCol w:w="959"/>
        <w:gridCol w:w="119"/>
        <w:gridCol w:w="109"/>
        <w:gridCol w:w="109"/>
        <w:gridCol w:w="109"/>
        <w:gridCol w:w="196"/>
        <w:gridCol w:w="556"/>
        <w:gridCol w:w="109"/>
        <w:gridCol w:w="109"/>
        <w:gridCol w:w="109"/>
        <w:gridCol w:w="109"/>
        <w:gridCol w:w="196"/>
        <w:gridCol w:w="608"/>
        <w:gridCol w:w="109"/>
        <w:gridCol w:w="109"/>
        <w:gridCol w:w="109"/>
        <w:gridCol w:w="109"/>
        <w:gridCol w:w="215"/>
        <w:gridCol w:w="959"/>
        <w:gridCol w:w="119"/>
        <w:gridCol w:w="109"/>
        <w:gridCol w:w="109"/>
        <w:gridCol w:w="109"/>
        <w:gridCol w:w="196"/>
        <w:gridCol w:w="556"/>
        <w:gridCol w:w="109"/>
        <w:gridCol w:w="109"/>
        <w:gridCol w:w="109"/>
        <w:gridCol w:w="109"/>
        <w:gridCol w:w="196"/>
        <w:gridCol w:w="608"/>
        <w:gridCol w:w="161"/>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340" w:type="dxa"/>
            <w:gridSpan w:val="24"/>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(1)</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cash flow hedges:</w:t>
            </w:r>
          </w:p>
        </w:tc>
        <w:tc>
          <w:tcPr>
            <w:tcW w:w="12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3,805,000 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4,555,000 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collar</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3,930,000 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4,680,000 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fair values of derivatives are included in other assets or other liabilities in the consolidated balance sheets.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amount of gain (loss) related to derivatives designated as cash flow hedges reclassified from AOCI into interest income or expense for the periods indicated (in thousands):</w:t>
      </w:r>
    </w:p>
    <w:tbl>
      <w:tblPr>
        <w:tblW w:w="9171" w:type="dxa"/>
        <w:jc w:val="left"/>
        <w:tblInd w:w="0" w:type="dxa"/>
        <w:tblLayout w:type="fixed"/>
        <w:tblCellMar>
          <w:top w:w="28" w:type="dxa"/>
          <w:left w:w="28" w:type="dxa"/>
          <w:bottom w:w="28" w:type="dxa"/>
          <w:right w:w="28" w:type="dxa"/>
        </w:tblCellMar>
      </w:tblPr>
      <w:tblGrid>
        <w:gridCol w:w="1782"/>
        <w:gridCol w:w="1563"/>
        <w:gridCol w:w="1575"/>
        <w:gridCol w:w="109"/>
        <w:gridCol w:w="109"/>
        <w:gridCol w:w="109"/>
        <w:gridCol w:w="226"/>
        <w:gridCol w:w="226"/>
        <w:gridCol w:w="439"/>
        <w:gridCol w:w="1281"/>
        <w:gridCol w:w="226"/>
        <w:gridCol w:w="109"/>
        <w:gridCol w:w="109"/>
        <w:gridCol w:w="109"/>
        <w:gridCol w:w="211"/>
        <w:gridCol w:w="616"/>
        <w:gridCol w:w="109"/>
        <w:gridCol w:w="109"/>
        <w:gridCol w:w="154"/>
      </w:tblGrid>
      <w:tr>
        <w:trPr/>
        <w:tc>
          <w:tcPr>
            <w:tcW w:w="1782"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526" w:type="dxa"/>
            <w:gridSpan w:val="8"/>
            <w:tcBorders/>
          </w:tcPr>
          <w:p>
            <w:pPr>
              <w:pStyle w:val="TableContents"/>
              <w:bidi w:val="0"/>
              <w:spacing w:before="0" w:after="283"/>
              <w:jc w:val="left"/>
              <w:rPr>
                <w:sz w:val="4"/>
                <w:szCs w:val="4"/>
              </w:rPr>
            </w:pPr>
            <w:r>
              <w:rPr>
                <w:sz w:val="4"/>
                <w:szCs w:val="4"/>
              </w:rPr>
            </w:r>
          </w:p>
        </w:tc>
      </w:tr>
      <w:tr>
        <w:trPr/>
        <w:tc>
          <w:tcPr>
            <w:tcW w:w="492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of gain (loss) reclassified from AOCI into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no derivative positions designated as cash flow hedges were discontinued and none of the gains and losses reported in AOCI were reclassified into earnings as a result of the discontinuance of cash flow hedges or because of the early extinguishment of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48285"/>
                <wp:effectExtent l="0" t="0" r="0" b="0"/>
                <wp:wrapNone/>
                <wp:docPr id="28" name="Frame2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the amount of net loss expected to be reclassified from AOCI into earnings during the next 12 months was $1.1 million, based on the forward curve. See Note 7 to the consolidated financial statements for additional information about the reclassification adjustments from AOCI into earnings.</w:t>
      </w: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enters into interest rate derivative contracts with certain of its commercial borrowers to enable those borrowers to manage their exposure to interest rate fluctuations. To mitigate interest rate risk associated with these derivative contracts, the Company enters into offsetting derivative contract positions with primary dealers. In addition, the Company purchases and sells credit protection under RPAs with the objective of sharing with financial institution counterparties some of the credit exposure related to interest rate derivative contracts entered into with commercial borrowers related to participations purchased or sold. The Company will make or receive payments under these agreements if a customer defaults on an obligation to perform under certain interest rate derivative contracts. The Company also enters into foreign currency forward derivative contracts with commercial borrowers to enable borrowers to manage their exposure to foreign currency fluctuations. The Company enters into offsetting forward contracts with primary dealers to mitigate the foreign currency risk associated with these contracts.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derivative contracts are not designated as hedging instruments; therefore, changes in the fair value of these derivatives are recognized in earnings. Fees recognized related to these derivative instruments were $2.7 million and $3.2 million for the three months ended March 31, 2026 and 2025, respectively, and are included in "capital markets income" in the accompanying consolidated statements of income.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may be exposed to credit risk in the event of non-performance by the counterparties to its commercial customer derivative agreements. The Company assesses the credit risk of its financial institution counterparties by monitoring publicly available credit rating and financial information. The Company manages dealer credit risk by entering into derivatives only with primary and highly rated counterparties, the use of ISDA master agreements, central clearing mechanisms and counterparty limits. The agreements contain bilateral collateral arrangements with the amount of collateral to be posted generally governed by the settlement value of outstanding swaps. The Company manages the risk of default by its commercial borrower counterparties through its normal loan underwriting and credit monitoring policies and procedures. The Company does not currently anticipate any significant losses from failure of derivative counterparties to honor their obligations.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derivatives not designated as hedging instruments as of the dates indicated (in thousands):</w:t>
      </w:r>
    </w:p>
    <w:tbl>
      <w:tblPr>
        <w:tblW w:w="10205" w:type="dxa"/>
        <w:jc w:val="left"/>
        <w:tblInd w:w="0" w:type="dxa"/>
        <w:tblLayout w:type="fixed"/>
        <w:tblCellMar>
          <w:top w:w="28" w:type="dxa"/>
          <w:left w:w="28" w:type="dxa"/>
          <w:bottom w:w="28" w:type="dxa"/>
          <w:right w:w="28" w:type="dxa"/>
        </w:tblCellMar>
      </w:tblPr>
      <w:tblGrid>
        <w:gridCol w:w="801"/>
        <w:gridCol w:w="628"/>
        <w:gridCol w:w="630"/>
        <w:gridCol w:w="213"/>
        <w:gridCol w:w="949"/>
        <w:gridCol w:w="118"/>
        <w:gridCol w:w="109"/>
        <w:gridCol w:w="109"/>
        <w:gridCol w:w="109"/>
        <w:gridCol w:w="196"/>
        <w:gridCol w:w="646"/>
        <w:gridCol w:w="109"/>
        <w:gridCol w:w="109"/>
        <w:gridCol w:w="109"/>
        <w:gridCol w:w="109"/>
        <w:gridCol w:w="196"/>
        <w:gridCol w:w="694"/>
        <w:gridCol w:w="109"/>
        <w:gridCol w:w="109"/>
        <w:gridCol w:w="109"/>
        <w:gridCol w:w="109"/>
        <w:gridCol w:w="213"/>
        <w:gridCol w:w="949"/>
        <w:gridCol w:w="118"/>
        <w:gridCol w:w="109"/>
        <w:gridCol w:w="109"/>
        <w:gridCol w:w="109"/>
        <w:gridCol w:w="196"/>
        <w:gridCol w:w="646"/>
        <w:gridCol w:w="109"/>
        <w:gridCol w:w="109"/>
        <w:gridCol w:w="109"/>
        <w:gridCol w:w="109"/>
        <w:gridCol w:w="196"/>
        <w:gridCol w:w="694"/>
        <w:gridCol w:w="160"/>
      </w:tblGrid>
      <w:tr>
        <w:trPr/>
        <w:tc>
          <w:tcPr>
            <w:tcW w:w="80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5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588" w:type="dxa"/>
            <w:gridSpan w:val="24"/>
            <w:tcBorders/>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(1)</w:t>
            </w:r>
          </w:p>
        </w:tc>
      </w:tr>
      <w:tr>
        <w:trPr/>
        <w:tc>
          <w:tcPr>
            <w:tcW w:w="2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r>
      <w:tr>
        <w:trPr/>
        <w:tc>
          <w:tcPr>
            <w:tcW w:w="205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Pay-fixed interest rate swaps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4,278,588 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4,136,758 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(50,883)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Pay-variable interest rate swaps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4,278,588 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4,136,758 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caps and collars purchased</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caps and collars sold</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RPAs purchased</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RPAs sold</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05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9,630,287 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9,437,677 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(77,861)</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(1)Fair values of these derivatives are included in other assets and other liabilities in the consolidated balance sheets. The notional amount and fair value of the foreign currency forward derivative contracts not designated as hedging instruments were not significant at March 31, 2026 and December 31, 2025.</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the Company’s ISDA master agreements with financial institution counterparties contain provisions that permit either counterparty to terminate the agreements and require settlement in the event that regulatory capital ratios fall below certain designated thresholds, upon the initiation of other defined regulatory actions or upon suspension or withdrawal of the Bank’s credit rating. Currently, there are no circumstances that would trigger these provisions of the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48285"/>
                <wp:effectExtent l="0" t="0" r="0" b="0"/>
                <wp:wrapNone/>
                <wp:docPr id="29" name="Frame2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Master netting agreements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offset assets and liabilities under master netting agreements for financial reporting purposes. Information on interest rate derivative instruments subject to these agreements is as follows at the dates indicated (in thousands): </w:t>
      </w:r>
    </w:p>
    <w:tbl>
      <w:tblPr>
        <w:tblW w:w="10205" w:type="dxa"/>
        <w:jc w:val="left"/>
        <w:tblInd w:w="0" w:type="dxa"/>
        <w:tblLayout w:type="fixed"/>
        <w:tblCellMar>
          <w:top w:w="28" w:type="dxa"/>
          <w:left w:w="28" w:type="dxa"/>
          <w:bottom w:w="28" w:type="dxa"/>
          <w:right w:w="28" w:type="dxa"/>
        </w:tblCellMar>
      </w:tblPr>
      <w:tblGrid>
        <w:gridCol w:w="429"/>
        <w:gridCol w:w="378"/>
        <w:gridCol w:w="379"/>
        <w:gridCol w:w="242"/>
        <w:gridCol w:w="847"/>
        <w:gridCol w:w="127"/>
        <w:gridCol w:w="109"/>
        <w:gridCol w:w="109"/>
        <w:gridCol w:w="109"/>
        <w:gridCol w:w="478"/>
        <w:gridCol w:w="920"/>
        <w:gridCol w:w="248"/>
        <w:gridCol w:w="109"/>
        <w:gridCol w:w="109"/>
        <w:gridCol w:w="109"/>
        <w:gridCol w:w="252"/>
        <w:gridCol w:w="950"/>
        <w:gridCol w:w="130"/>
        <w:gridCol w:w="109"/>
        <w:gridCol w:w="109"/>
        <w:gridCol w:w="109"/>
        <w:gridCol w:w="211"/>
        <w:gridCol w:w="751"/>
        <w:gridCol w:w="109"/>
        <w:gridCol w:w="109"/>
        <w:gridCol w:w="109"/>
        <w:gridCol w:w="109"/>
        <w:gridCol w:w="211"/>
        <w:gridCol w:w="751"/>
        <w:gridCol w:w="109"/>
        <w:gridCol w:w="109"/>
        <w:gridCol w:w="109"/>
        <w:gridCol w:w="109"/>
        <w:gridCol w:w="211"/>
        <w:gridCol w:w="676"/>
        <w:gridCol w:w="161"/>
      </w:tblGrid>
      <w:tr>
        <w:trPr/>
        <w:tc>
          <w:tcPr>
            <w:tcW w:w="42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7803" w:type="dxa"/>
            <w:gridSpan w:val="30"/>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Offset in Balance</w:t>
              <w:br/>
              <w:t>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Presented in</w:t>
              <w:br/>
              <w:t>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w:t>
              <w:br/>
              <w:t>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w:t>
              <w:br/>
              <w:t>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Collateral</w:t>
              <w:br/>
              <w:t>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(41,919)</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(41,919)</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(10,310)</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(10,310)</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33"/>
        <w:gridCol w:w="381"/>
        <w:gridCol w:w="383"/>
        <w:gridCol w:w="242"/>
        <w:gridCol w:w="847"/>
        <w:gridCol w:w="127"/>
        <w:gridCol w:w="109"/>
        <w:gridCol w:w="109"/>
        <w:gridCol w:w="109"/>
        <w:gridCol w:w="482"/>
        <w:gridCol w:w="928"/>
        <w:gridCol w:w="250"/>
        <w:gridCol w:w="109"/>
        <w:gridCol w:w="109"/>
        <w:gridCol w:w="109"/>
        <w:gridCol w:w="254"/>
        <w:gridCol w:w="958"/>
        <w:gridCol w:w="131"/>
        <w:gridCol w:w="109"/>
        <w:gridCol w:w="109"/>
        <w:gridCol w:w="109"/>
        <w:gridCol w:w="211"/>
        <w:gridCol w:w="752"/>
        <w:gridCol w:w="109"/>
        <w:gridCol w:w="109"/>
        <w:gridCol w:w="109"/>
        <w:gridCol w:w="109"/>
        <w:gridCol w:w="211"/>
        <w:gridCol w:w="721"/>
        <w:gridCol w:w="109"/>
        <w:gridCol w:w="109"/>
        <w:gridCol w:w="109"/>
        <w:gridCol w:w="109"/>
        <w:gridCol w:w="222"/>
        <w:gridCol w:w="650"/>
        <w:gridCol w:w="169"/>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0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9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7792" w:type="dxa"/>
            <w:gridSpan w:val="30"/>
            <w:tcBorders/>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Offset in Balance</w:t>
              <w:br/>
              <w:t>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Presented in</w:t>
              <w:br/>
              <w:t>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w:t>
              <w:br/>
              <w:t>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w:t>
              <w:br/>
              <w:t>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Collateral</w:t>
              <w:br/>
              <w:t>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(52,880)</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(52,880)</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(19,051)</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(19,051)</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difference between the amounts reported for interest rate swaps subject to master netting agreements and the total fair value of interest rate contract derivative financial instruments reported in the consolidated balance sheets is related to interest rate derivative contracts not subject to master netting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7    Stockholders’ Equity</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Accumulated Other Comprehensive Income</w:t>
      </w:r>
    </w:p>
    <w:p>
      <w:pPr>
        <w:pStyle w:val="TextBody"/>
        <w:bidi w:val="0"/>
        <w:spacing w:lineRule="auto" w:line="288" w:before="16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other comprehensive income are summarized as follows for the periods indicated (in thousands):</w:t>
      </w:r>
    </w:p>
    <w:tbl>
      <w:tblPr>
        <w:tblW w:w="10205" w:type="dxa"/>
        <w:jc w:val="left"/>
        <w:tblInd w:w="0" w:type="dxa"/>
        <w:tblLayout w:type="fixed"/>
        <w:tblCellMar>
          <w:top w:w="28" w:type="dxa"/>
          <w:left w:w="28" w:type="dxa"/>
          <w:bottom w:w="28" w:type="dxa"/>
          <w:right w:w="28" w:type="dxa"/>
        </w:tblCellMar>
      </w:tblPr>
      <w:tblGrid>
        <w:gridCol w:w="1101"/>
        <w:gridCol w:w="601"/>
        <w:gridCol w:w="603"/>
        <w:gridCol w:w="211"/>
        <w:gridCol w:w="746"/>
        <w:gridCol w:w="109"/>
        <w:gridCol w:w="109"/>
        <w:gridCol w:w="109"/>
        <w:gridCol w:w="109"/>
        <w:gridCol w:w="211"/>
        <w:gridCol w:w="616"/>
        <w:gridCol w:w="109"/>
        <w:gridCol w:w="109"/>
        <w:gridCol w:w="109"/>
        <w:gridCol w:w="109"/>
        <w:gridCol w:w="211"/>
        <w:gridCol w:w="746"/>
        <w:gridCol w:w="109"/>
        <w:gridCol w:w="109"/>
        <w:gridCol w:w="109"/>
        <w:gridCol w:w="109"/>
        <w:gridCol w:w="211"/>
        <w:gridCol w:w="721"/>
        <w:gridCol w:w="109"/>
        <w:gridCol w:w="109"/>
        <w:gridCol w:w="109"/>
        <w:gridCol w:w="109"/>
        <w:gridCol w:w="211"/>
        <w:gridCol w:w="746"/>
        <w:gridCol w:w="109"/>
        <w:gridCol w:w="109"/>
        <w:gridCol w:w="109"/>
        <w:gridCol w:w="109"/>
        <w:gridCol w:w="211"/>
        <w:gridCol w:w="721"/>
        <w:gridCol w:w="158"/>
      </w:tblGrid>
      <w:tr>
        <w:trPr/>
        <w:tc>
          <w:tcPr>
            <w:tcW w:w="11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of Tax</w:t>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gains (losses) on investment securities available for sale:</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unrealized holding gains arising during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to gain on investment securities available for sale, net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gains (losses) on investment securities available for sale</w:t>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derivative instruments:</w:t>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unrealized holding losses arising during the period</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interest expense on deposits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to interest expense on borrowings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interest income on loans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gains (losses) on derivative instruments</w:t>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48285"/>
                <wp:effectExtent l="0" t="0" r="0" b="0"/>
                <wp:wrapNone/>
                <wp:docPr id="30" name="Frame3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16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categories of AOCI and changes therein are presented below for the periods indicated (in thousands):</w:t>
      </w:r>
    </w:p>
    <w:tbl>
      <w:tblPr>
        <w:tblW w:w="9689" w:type="dxa"/>
        <w:jc w:val="left"/>
        <w:tblInd w:w="0" w:type="dxa"/>
        <w:tblLayout w:type="fixed"/>
        <w:tblCellMar>
          <w:top w:w="28" w:type="dxa"/>
          <w:left w:w="28" w:type="dxa"/>
          <w:bottom w:w="28" w:type="dxa"/>
          <w:right w:w="28" w:type="dxa"/>
        </w:tblCellMar>
      </w:tblPr>
      <w:tblGrid>
        <w:gridCol w:w="1076"/>
        <w:gridCol w:w="946"/>
        <w:gridCol w:w="948"/>
        <w:gridCol w:w="362"/>
        <w:gridCol w:w="1445"/>
        <w:gridCol w:w="187"/>
        <w:gridCol w:w="109"/>
        <w:gridCol w:w="109"/>
        <w:gridCol w:w="109"/>
        <w:gridCol w:w="567"/>
        <w:gridCol w:w="1943"/>
        <w:gridCol w:w="295"/>
        <w:gridCol w:w="109"/>
        <w:gridCol w:w="109"/>
        <w:gridCol w:w="109"/>
        <w:gridCol w:w="211"/>
        <w:gridCol w:w="901"/>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4725" w:type="dxa"/>
            <w:gridSpan w:val="12"/>
            <w:tcBorders/>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 (Loss) 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Investment Securities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Available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 (Loss) on Derivative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(197,673)</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(202,806)</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(300,161)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(250,105)</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13,871 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(236,234)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8    Fair Value Measurements</w:t>
      </w:r>
    </w:p>
    <w:p>
      <w:pPr>
        <w:pStyle w:val="TextBody"/>
        <w:bidi w:val="0"/>
        <w:spacing w:lineRule="auto" w:line="288" w:before="16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the methodologies used to estimate the fair values of assets and liabilities measured at fair value on a recurring basis and the level within the fair value hierarchy in which those measurements are typically classified.</w:t>
      </w:r>
    </w:p>
    <w:p>
      <w:pPr>
        <w:pStyle w:val="TextBody"/>
        <w:bidi w:val="0"/>
        <w:spacing w:lineRule="auto" w:line="288" w:before="160" w:after="160"/>
        <w:ind w:left="0" w:right="0" w:firstLine="360"/>
        <w:jc w:val="left"/>
        <w:rPr/>
      </w:pPr>
      <w:r>
        <w:rPr>
          <w:rFonts w:ascii="Times New Roman;serif" w:hAnsi="Times New Roman;serif"/>
          <w:b w:val="false"/>
          <w:i/>
          <w:color w:val="000000"/>
          <w:sz w:val="20"/>
        </w:rPr>
        <w:t>Investment securities available for sale and marketable equity securities</w:t>
      </w:r>
      <w:r>
        <w:rPr>
          <w:color w:val="000000"/>
        </w:rPr>
        <w:t>—</w:t>
      </w:r>
      <w:r>
        <w:rPr>
          <w:rFonts w:ascii="Times New Roman;serif" w:hAnsi="Times New Roman;serif"/>
          <w:b w:val="false"/>
          <w:color w:val="000000"/>
          <w:sz w:val="20"/>
        </w:rPr>
        <w:t>Fair value measurements are based on quoted prices in active markets when available; these measurements are classified within level 1 of the fair value hierarchy. These securities typically include U.S. Treasury securities and certain preferred stocks. If quoted prices in active markets are not available, fair values are estimated using quoted prices of securities with similar characteristics, quoted prices of identical securities in less active markets, discounted cash flow techniques, or matrix pricing models. These securities are generally classified within level 2 of the fair value hierarchy and typically include all categories of investment securities not classified within level 1 of the hierarchy. Pricing of these securities is generally primarily spread driven. Observable inputs that may impact the valuation of these securities include benchmark yield curves, credit spreads, reported trades, dealer quotes, bids, issuer spreads, current rating, historical constant prepayment rates, historical voluntary prepayment rates, structural and waterfall features of individual securities, published collateral data, and for certain securities, historical constant default rates and default severities.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uses third-party pricing services in determining fair value measurements for investment securities. To obtain an understanding of the methodologies and assumptions used, management reviews written documentation provided by the pricing services, conducts interviews with valuation desk personnel and reviews model results and detailed assumptions used to value selected securities as considered necessary. Management has established a robust price challenge process that includes a review by the treasury front office of all prices provided on a quarterly basis. Any price evidencing significant unexpected quarter-over-quarter fluctuations or deviations from expectations is challenged. The Company has also established a quarterly process whereby prices provided by its primary pricing service are validated by obtaining a price from a second external source for most securities in the portfolio. If considered necessary to resolve any discrepancies, a price will be obtained from an additional independent valuation source. The Company does not typically adjust the prices provided, other than through this established challenge process. The results of price challenges are subject to review by executive management. Any price discrepancies are resolved based on careful consideration of the assumptions and inputs employed by each of the pricing sources.</w:t>
      </w:r>
    </w:p>
    <w:p>
      <w:pPr>
        <w:pStyle w:val="TextBody"/>
        <w:bidi w:val="0"/>
        <w:spacing w:lineRule="auto" w:line="288" w:before="160" w:after="160"/>
        <w:ind w:left="0" w:right="0" w:firstLine="360"/>
        <w:jc w:val="left"/>
        <w:rPr/>
      </w:pPr>
      <w:r>
        <w:rPr>
          <w:rFonts w:ascii="Times New Roman;serif" w:hAnsi="Times New Roman;serif"/>
          <w:b w:val="false"/>
          <w:i/>
          <w:color w:val="000000"/>
          <w:sz w:val="20"/>
        </w:rPr>
        <w:t>Derivative financial instruments</w:t>
      </w:r>
      <w:r>
        <w:rPr>
          <w:color w:val="000000"/>
        </w:rPr>
        <w:t>—</w:t>
      </w:r>
      <w:r>
        <w:rPr>
          <w:rFonts w:ascii="Times New Roman;serif" w:hAnsi="Times New Roman;serif"/>
          <w:b w:val="false"/>
          <w:color w:val="000000"/>
          <w:sz w:val="20"/>
        </w:rPr>
        <w:t>Fair values of interest rate derivatives are determined using widely accepted discounted cash flow modeling techniques. These discounted cash flow models use projections of future cash payments and receipts that are discounted at mid-market rates. Observable inputs that may impact the valuation of these instruments include benchmark swap rates and benchmark forward yield curves. These fair value measurements are generally classified within level 2 of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48285"/>
                <wp:effectExtent l="0" t="0" r="0" b="0"/>
                <wp:wrapNone/>
                <wp:docPr id="31" name="Frame3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assets and liabilities measured at fair value on a recurring basis at the dates indicated (in thousands):</w:t>
      </w:r>
    </w:p>
    <w:tbl>
      <w:tblPr>
        <w:tblW w:w="10076" w:type="dxa"/>
        <w:jc w:val="left"/>
        <w:tblInd w:w="0" w:type="dxa"/>
        <w:tblLayout w:type="fixed"/>
        <w:tblCellMar>
          <w:top w:w="28" w:type="dxa"/>
          <w:left w:w="28" w:type="dxa"/>
          <w:bottom w:w="28" w:type="dxa"/>
          <w:right w:w="28" w:type="dxa"/>
        </w:tblCellMar>
      </w:tblPr>
      <w:tblGrid>
        <w:gridCol w:w="2043"/>
        <w:gridCol w:w="1795"/>
        <w:gridCol w:w="1801"/>
        <w:gridCol w:w="211"/>
        <w:gridCol w:w="826"/>
        <w:gridCol w:w="109"/>
        <w:gridCol w:w="109"/>
        <w:gridCol w:w="109"/>
        <w:gridCol w:w="109"/>
        <w:gridCol w:w="211"/>
        <w:gridCol w:w="976"/>
        <w:gridCol w:w="109"/>
        <w:gridCol w:w="109"/>
        <w:gridCol w:w="109"/>
        <w:gridCol w:w="109"/>
        <w:gridCol w:w="211"/>
        <w:gridCol w:w="976"/>
        <w:gridCol w:w="154"/>
      </w:tblGrid>
      <w:tr>
        <w:trPr/>
        <w:tc>
          <w:tcPr>
            <w:tcW w:w="2043"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 for sale:</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residential MBS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2,464,664 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commercial MBS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 residential MBS and CMOs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2,516,325 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 commercial MBS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2,402,462 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 family real estate-backed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Non-mortgage 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9,305,340 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9,570,963 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(71,359)</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76" w:type="dxa"/>
        <w:jc w:val="left"/>
        <w:tblInd w:w="0" w:type="dxa"/>
        <w:tblLayout w:type="fixed"/>
        <w:tblCellMar>
          <w:top w:w="28" w:type="dxa"/>
          <w:left w:w="28" w:type="dxa"/>
          <w:bottom w:w="28" w:type="dxa"/>
          <w:right w:w="28" w:type="dxa"/>
        </w:tblCellMar>
      </w:tblPr>
      <w:tblGrid>
        <w:gridCol w:w="2043"/>
        <w:gridCol w:w="1795"/>
        <w:gridCol w:w="1801"/>
        <w:gridCol w:w="211"/>
        <w:gridCol w:w="826"/>
        <w:gridCol w:w="109"/>
        <w:gridCol w:w="109"/>
        <w:gridCol w:w="109"/>
        <w:gridCol w:w="109"/>
        <w:gridCol w:w="211"/>
        <w:gridCol w:w="976"/>
        <w:gridCol w:w="109"/>
        <w:gridCol w:w="109"/>
        <w:gridCol w:w="109"/>
        <w:gridCol w:w="109"/>
        <w:gridCol w:w="211"/>
        <w:gridCol w:w="976"/>
        <w:gridCol w:w="154"/>
      </w:tblGrid>
      <w:tr>
        <w:trPr/>
        <w:tc>
          <w:tcPr>
            <w:tcW w:w="2043"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91" w:type="dxa"/>
            <w:gridSpan w:val="12"/>
            <w:tcBorders/>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 for sale:</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residential MBS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2,563,027 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commercial MBS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 residential MBS and CMOs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2,490,828 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 commercial MBS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 family real estate-backed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Non-mortgage 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9,074,420 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9,348,807 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(79,816)</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48285"/>
                <wp:effectExtent l="0" t="0" r="0" b="0"/>
                <wp:wrapNone/>
                <wp:docPr id="32" name="Frame3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non-recurring basis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the methodologies used to estimate the fair values of assets and liabilities that may be measured at fair value on a non-recurring basis, and the level within the fair value hierarchy in which those measurements are typically classified:</w:t>
      </w:r>
    </w:p>
    <w:p>
      <w:pPr>
        <w:pStyle w:val="TextBody"/>
        <w:bidi w:val="0"/>
        <w:spacing w:lineRule="auto" w:line="288" w:before="160" w:after="160"/>
        <w:ind w:left="0" w:right="0" w:firstLine="360"/>
        <w:jc w:val="left"/>
        <w:rPr/>
      </w:pPr>
      <w:r>
        <w:rPr>
          <w:rFonts w:ascii="Times New Roman;serif" w:hAnsi="Times New Roman;serif"/>
          <w:b w:val="false"/>
          <w:i/>
          <w:color w:val="000000"/>
          <w:sz w:val="20"/>
        </w:rPr>
        <w:t>Collateral dependent loans and OREO</w:t>
      </w:r>
      <w:r>
        <w:rPr>
          <w:color w:val="000000"/>
        </w:rPr>
        <w:t>—</w:t>
      </w:r>
      <w:r>
        <w:rPr>
          <w:rFonts w:ascii="Times New Roman;serif" w:hAnsi="Times New Roman;serif"/>
          <w:b w:val="false"/>
          <w:color w:val="000000"/>
          <w:sz w:val="20"/>
        </w:rPr>
        <w:t>The carrying amount of collateral dependent loans is typically based on the fair value of the underlying collateral, which may be real estate, enterprise value or other business assets, less estimated costs to sell when repayment is expected to come from the sale of the collateral. The carrying value of OREO is initially measured based on the fair value of the real estate acquired in foreclosure and subsequently adjusted to the lower of cost or estimated fair value, less estimated cost to sell. Fair values of real estate collateral and OREO are typically based on third-party real estate appraisals which utilize market and income approaches to valuation incorporating both observable and unobservable inputs.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Fair value measurements related to collateral dependent loans and OREO are generally classified within level 3 of the fair value hierarchy.</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net carrying value of assets classified within level 3 of the fair value hierarchy at the dates indicated, for which non-recurring changes in fair value were recorded during the period then ended (in thousands):</w:t>
      </w:r>
    </w:p>
    <w:tbl>
      <w:tblPr>
        <w:tblW w:w="5439" w:type="dxa"/>
        <w:jc w:val="left"/>
        <w:tblInd w:w="0" w:type="dxa"/>
        <w:tblLayout w:type="fixed"/>
        <w:tblCellMar>
          <w:top w:w="28" w:type="dxa"/>
          <w:left w:w="28" w:type="dxa"/>
          <w:bottom w:w="28" w:type="dxa"/>
          <w:right w:w="28" w:type="dxa"/>
        </w:tblCellMar>
      </w:tblPr>
      <w:tblGrid>
        <w:gridCol w:w="835"/>
        <w:gridCol w:w="736"/>
        <w:gridCol w:w="738"/>
        <w:gridCol w:w="232"/>
        <w:gridCol w:w="908"/>
        <w:gridCol w:w="119"/>
        <w:gridCol w:w="109"/>
        <w:gridCol w:w="109"/>
        <w:gridCol w:w="109"/>
        <w:gridCol w:w="273"/>
        <w:gridCol w:w="1072"/>
        <w:gridCol w:w="199"/>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 dependent loans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122,274 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183,259 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OREO</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123,237 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183,771 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value and fair value of financial instruments and the level within the fair value hierarchy in which those measurements are classified at the dates indicated (dollars in thousands):</w:t>
      </w:r>
    </w:p>
    <w:tbl>
      <w:tblPr>
        <w:tblW w:w="10205" w:type="dxa"/>
        <w:jc w:val="left"/>
        <w:tblInd w:w="0" w:type="dxa"/>
        <w:tblLayout w:type="fixed"/>
        <w:tblCellMar>
          <w:top w:w="28" w:type="dxa"/>
          <w:left w:w="28" w:type="dxa"/>
          <w:bottom w:w="28" w:type="dxa"/>
          <w:right w:w="28" w:type="dxa"/>
        </w:tblCellMar>
      </w:tblPr>
      <w:tblGrid>
        <w:gridCol w:w="1093"/>
        <w:gridCol w:w="825"/>
        <w:gridCol w:w="832"/>
        <w:gridCol w:w="165"/>
        <w:gridCol w:w="165"/>
        <w:gridCol w:w="166"/>
        <w:gridCol w:w="109"/>
        <w:gridCol w:w="109"/>
        <w:gridCol w:w="10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56"/>
      </w:tblGrid>
      <w:tr>
        <w:trPr/>
        <w:tc>
          <w:tcPr>
            <w:tcW w:w="109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5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503" w:type="dxa"/>
            <w:gridSpan w:val="12"/>
            <w:tcBorders/>
          </w:tcPr>
          <w:p>
            <w:pPr>
              <w:pStyle w:val="TableContents"/>
              <w:bidi w:val="0"/>
              <w:spacing w:before="0" w:after="283"/>
              <w:jc w:val="left"/>
              <w:rPr>
                <w:sz w:val="4"/>
                <w:szCs w:val="4"/>
              </w:rPr>
            </w:pPr>
            <w:r>
              <w:rPr>
                <w:sz w:val="4"/>
                <w:szCs w:val="4"/>
              </w:rPr>
            </w:r>
          </w:p>
        </w:tc>
      </w:tr>
      <w:tr>
        <w:trPr/>
        <w:tc>
          <w:tcPr>
            <w:tcW w:w="2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securities </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9,263,651 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9,263,651 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net</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23,926,139 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23,562,053 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24,053,882 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23,707,267 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Demand, savings and money market deposits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25,464,221 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25,464,221 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3,887,392 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1,555,021 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borrowings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pPr>
      <w:r>
        <w:rPr>
          <w:rFonts w:ascii="Times New Roman;serif" w:hAnsi="Times New Roman;serif"/>
          <w:b/>
          <w:color w:val="000000"/>
          <w:sz w:val="20"/>
        </w:rPr>
        <w:t>Note 9    Commitments and Contingencies</w:t>
      </w:r>
      <w:r>
        <w:rPr>
          <w:color w:val="000000"/>
        </w:rPr>
        <w:t>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issues off-balance sheet financial instruments to meet the financing needs of its customers. These financial instruments include commitments to fund loans, unfunded commitments under existing lines of credit, and commercial and standby letters of credit. These commitments expose the Company to varying degrees of credit and market risk which are essentially the same as those involved in extending loans to customers, and are subject to the same credit policies used in underwriting loans. Collateral may be obtained based on the Company’s credit evaluation of the counterparty. The Company’s maximum exposure to credit loss is represented by the contractual amount of these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48285"/>
                <wp:effectExtent l="0" t="0" r="0" b="0"/>
                <wp:wrapNone/>
                <wp:docPr id="33" name="Frame3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24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Commitments to fund loans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are agreements to lend funds to customers as long as there is no violation of any condition established in the contract. Commitments to fund loans generally have fixed expiration dates or other termination clauses and may require payment of a fee. Many of these commitments are expected to expire without being funded and, therefore, the total commitment amounts do not necessarily represent future liquidity requirements. </w:t>
      </w:r>
    </w:p>
    <w:p>
      <w:pPr>
        <w:pStyle w:val="TextBody"/>
        <w:bidi w:val="0"/>
        <w:spacing w:lineRule="auto" w:line="288" w:before="16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Unfunded commitments under lines of credit</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Unfunded commitments under lines of credit include commercial and commercial real estate lines of credit to existing customers, for many of which additional extensions of credit are subject to borrowing base requirements. Some of these commitments may mature without being fully funded, some may not necessarily represent future liquidity requirements. </w:t>
      </w:r>
    </w:p>
    <w:p>
      <w:pPr>
        <w:pStyle w:val="TextBody"/>
        <w:bidi w:val="0"/>
        <w:spacing w:lineRule="auto" w:line="288" w:before="16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Commercial and standby letters of credit</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Letters of credit are conditional commitments issued by the Company to guarantee the performance of a customer to a third party. These letters of credit are primarily issued to support trade transactions or guarantee arrangements. The credit risk involved in issuing letters of credit is essentially the same as that involved in extending loan facilities to customers.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lending related commitments outstanding at March 31, 2026 were as follows (in thousands):</w:t>
      </w:r>
    </w:p>
    <w:tbl>
      <w:tblPr>
        <w:tblW w:w="5120" w:type="dxa"/>
        <w:jc w:val="left"/>
        <w:tblInd w:w="0" w:type="dxa"/>
        <w:tblLayout w:type="fixed"/>
        <w:tblCellMar>
          <w:top w:w="28" w:type="dxa"/>
          <w:left w:w="28" w:type="dxa"/>
          <w:bottom w:w="28" w:type="dxa"/>
          <w:right w:w="28" w:type="dxa"/>
        </w:tblCellMar>
      </w:tblPr>
      <w:tblGrid>
        <w:gridCol w:w="1370"/>
        <w:gridCol w:w="1201"/>
        <w:gridCol w:w="1208"/>
        <w:gridCol w:w="211"/>
        <w:gridCol w:w="976"/>
        <w:gridCol w:w="154"/>
      </w:tblGrid>
      <w:tr>
        <w:trPr/>
        <w:tc>
          <w:tcPr>
            <w:tcW w:w="13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to fund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Unfunded commitments under lines of credit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and standby letters of credit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5,495,652 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Legal Proceedings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legal actions arising in the normal course of business. In the opinion of management, based upon advice of legal counsel, the likelihood is remote that the adverse impact of these proceedings, either individually or in the aggregate, would be material to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10    Deposits</w:t>
      </w:r>
    </w:p>
    <w:p>
      <w:pPr>
        <w:pStyle w:val="TextBody"/>
        <w:bidi w:val="0"/>
        <w:spacing w:lineRule="auto" w:line="288" w:before="26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average balances and weighted average rates paid on deposits for the periods indicated (dollars in thousands):</w:t>
      </w:r>
    </w:p>
    <w:tbl>
      <w:tblPr>
        <w:tblW w:w="9813" w:type="dxa"/>
        <w:jc w:val="left"/>
        <w:tblInd w:w="0" w:type="dxa"/>
        <w:tblLayout w:type="fixed"/>
        <w:tblCellMar>
          <w:top w:w="28" w:type="dxa"/>
          <w:left w:w="28" w:type="dxa"/>
          <w:bottom w:w="28" w:type="dxa"/>
          <w:right w:w="28" w:type="dxa"/>
        </w:tblCellMar>
      </w:tblPr>
      <w:tblGrid>
        <w:gridCol w:w="836"/>
        <w:gridCol w:w="734"/>
        <w:gridCol w:w="739"/>
        <w:gridCol w:w="109"/>
        <w:gridCol w:w="109"/>
        <w:gridCol w:w="127"/>
        <w:gridCol w:w="127"/>
        <w:gridCol w:w="155"/>
        <w:gridCol w:w="155"/>
        <w:gridCol w:w="156"/>
        <w:gridCol w:w="127"/>
        <w:gridCol w:w="246"/>
        <w:gridCol w:w="1263"/>
        <w:gridCol w:w="127"/>
        <w:gridCol w:w="109"/>
        <w:gridCol w:w="109"/>
        <w:gridCol w:w="109"/>
        <w:gridCol w:w="255"/>
        <w:gridCol w:w="256"/>
        <w:gridCol w:w="459"/>
        <w:gridCol w:w="109"/>
        <w:gridCol w:w="109"/>
        <w:gridCol w:w="109"/>
        <w:gridCol w:w="211"/>
        <w:gridCol w:w="1081"/>
        <w:gridCol w:w="109"/>
        <w:gridCol w:w="109"/>
        <w:gridCol w:w="109"/>
        <w:gridCol w:w="109"/>
        <w:gridCol w:w="255"/>
        <w:gridCol w:w="256"/>
        <w:gridCol w:w="459"/>
        <w:gridCol w:w="109"/>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4803" w:type="dxa"/>
            <w:gridSpan w:val="22"/>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778" w:type="dxa"/>
            <w:gridSpan w:val="10"/>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Rate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Rate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Demand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8,463,491 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6,033,099 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and money market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10,245,692 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3,751,256 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28,493,538 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27,385,427 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Time deposit accounts with balances greater than $250,000 totaled $764 million and $774 million at March 31,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48285"/>
                <wp:effectExtent l="0" t="0" r="0" b="0"/>
                <wp:wrapNone/>
                <wp:docPr id="34" name="Frame3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maturities of time deposits as of March 31, 2026 (in thousands):</w:t>
      </w:r>
    </w:p>
    <w:tbl>
      <w:tblPr>
        <w:tblW w:w="2495" w:type="dxa"/>
        <w:jc w:val="left"/>
        <w:tblInd w:w="0" w:type="dxa"/>
        <w:tblLayout w:type="fixed"/>
        <w:tblCellMar>
          <w:top w:w="28" w:type="dxa"/>
          <w:left w:w="28" w:type="dxa"/>
          <w:bottom w:w="28" w:type="dxa"/>
          <w:right w:w="28" w:type="dxa"/>
        </w:tblCellMar>
      </w:tblPr>
      <w:tblGrid>
        <w:gridCol w:w="418"/>
        <w:gridCol w:w="367"/>
        <w:gridCol w:w="369"/>
        <w:gridCol w:w="211"/>
        <w:gridCol w:w="976"/>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4,026,866 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Included in deposits are public funds deposits of $3.1 billion and $3.2 billion, at March 31, 2026 and December 31, 2025, respectively, and brokered deposits of $4.6 billion and $4.9 billion at March 31, 2026 and December 31, 2025, respectively.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on deposits for the periods indicated was as follows (in thousands):</w:t>
      </w:r>
    </w:p>
    <w:tbl>
      <w:tblPr>
        <w:tblW w:w="6661" w:type="dxa"/>
        <w:jc w:val="left"/>
        <w:tblInd w:w="0" w:type="dxa"/>
        <w:tblLayout w:type="fixed"/>
        <w:tblCellMar>
          <w:top w:w="28" w:type="dxa"/>
          <w:left w:w="28" w:type="dxa"/>
          <w:bottom w:w="28" w:type="dxa"/>
          <w:right w:w="28" w:type="dxa"/>
        </w:tblCellMar>
      </w:tblPr>
      <w:tblGrid>
        <w:gridCol w:w="835"/>
        <w:gridCol w:w="736"/>
        <w:gridCol w:w="739"/>
        <w:gridCol w:w="109"/>
        <w:gridCol w:w="109"/>
        <w:gridCol w:w="191"/>
        <w:gridCol w:w="191"/>
        <w:gridCol w:w="371"/>
        <w:gridCol w:w="1453"/>
        <w:gridCol w:w="191"/>
        <w:gridCol w:w="109"/>
        <w:gridCol w:w="109"/>
        <w:gridCol w:w="109"/>
        <w:gridCol w:w="211"/>
        <w:gridCol w:w="826"/>
        <w:gridCol w:w="109"/>
        <w:gridCol w:w="109"/>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736" w:type="dxa"/>
            <w:gridSpan w:val="8"/>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demand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and money market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148,694 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incur costs related to certain deposit rebate and commission programs. During the three months ended March 31, 2026 and 2025, costs related to those programs that were correlated with the balance in the related deposit accounts totaled $13.2 million in each period. These expenses are included in "other non-interest expense" in the accompanying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48285"/>
                <wp:effectExtent l="0" t="0" r="0" b="0"/>
                <wp:wrapNone/>
                <wp:docPr id="35" name="Frame3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w:t>
      </w:r>
    </w:p>
    <w:p>
      <w:pPr>
        <w:pStyle w:val="TextBody"/>
        <w:bidi w:val="0"/>
        <w:spacing w:lineRule="auto" w:line="288" w:before="16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is intended to focus on significant matters impacting and changes in the financial condition and results of operations of the Company during the three months ended March 31, 2026 and should be read in conjunction with the consolidated financial statements and notes hereto included in this Quarterly Report on Form 10-Q and BKU's 2025 Annual Report on Form 10-K for the year ended December 31, 2025 (the "2025 Annual Report on Form 10-K").</w:t>
      </w: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Private Securities Litigation Reform Act of 1995 that reflect the Company’s current views with respect to, among other things, future events and financial performance. Words such as “anticipates,” “expects,” “intends,” “plans,” “believes,” “seeks,” “estimates,” "future", "could", and similar expressions identify forward-looking statements. These forward-looking statements are based on the historical performance of the Company or on the Company’s current plans, estimates and expectations. The inclusion of this forward-looking information should not be regarded as a representation by the Company that the future plans, estimates or expectations so contemplated will be achieved. Such forward-looking statements are subject to various risks and uncertainties and assumptions relating to the Company’s operations, financial results, financial condition, business prospects, growth strategy and liquidity, including as impacted by external circumstances outside the Company's direct control, such as adverse events impacting the financial services industry. If one or more of these or other risks or uncertainties materialize, or if the Company’s underlying assumptions prove to be incorrect, the Company’s actual results may vary materially from those indicated in these statements. A number of important factors could cause actual results to differ materially from those indicated by the forward-looking statements, including, but not limited to, the risk factors described in Part I, Item 1A of the 2025 Annual Report on Form 10-K and any subsequent Quarterly Report on Form 10-Q or Current Report on Form 8-K. The Company does not undertake any obligation to publicly update or review any forward looking statement, whether as a result of new information, future developments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160"/>
        <w:ind w:left="0" w:right="0" w:hanging="360"/>
        <w:jc w:val="left"/>
        <w:rPr>
          <w:rFonts w:ascii="Times New Roman;serif" w:hAnsi="Times New Roman;serif"/>
          <w:b/>
          <w:i/>
          <w:color w:val="000000"/>
          <w:sz w:val="20"/>
        </w:rPr>
      </w:pPr>
      <w:r>
        <w:rPr>
          <w:rFonts w:ascii="Times New Roman;serif" w:hAnsi="Times New Roman;serif"/>
          <w:b/>
          <w:i/>
          <w:color w:val="000000"/>
          <w:sz w:val="20"/>
        </w:rPr>
        <w:t>Quarterly Highlights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evaluating our financial performance, we consider (i) the funding mix and the composition of interest earning assets; (ii) the level of and trends in net interest income and the net interest margin; (iii) the cost of deposits, trends in non-interest income and non-interest expense; (iv) performance ratios such as the return on average equity and return on average assets and trends in those metrics; and (v) asset quality metrics, including the level of criticized and classified assets, the ratios of non-performing loans to total loans and non-performing assets to total assets, delinquency and net charge-off rates, as well as trends in those metrics. We analyze these ratios and trends against our own historical performance, our expected performance, our risk appetite and the financial condition and performance of comparable financial institutions.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Quarterly Highlights include:</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Net income for the three months ended March 31, 2026 was $61.9 million, or $0.83 per diluted share, compared to $69.3 million, or $0.90, per diluted share for the immediately preceding three months ended December 31, 2025 and $58.5 million, or $0.78 per diluted share for the three months ended March 31, 2025. PPNR increased by 12%, to $106.3 million for the three months ended March 31, 2026, from $95.2 million for the three months ended March 31, 2025.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For the three months ended March 31, 2026, the annualized ROAA was 0.72% and annualized ROAE was 8.1%.</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net interest margin, calculated on a tax-equivalent basis, declined to 2.99% for the three months ended March 31, 2026 from 3.06% for the immediately preceding quarter, reflecting seasonal trends; however the net interest margin increased 18 bps from 2.81% for the three months ended March 31, 2025. The decrease in the net interest margin from the immediately preceding quarter was primarily a result of variable rate assets repricing faster than continued improvement in funding cost and funding mix dynamics.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average cost of total deposits declined to 2.12% for the three months ended March 31, 2026, from 2.18% for the immediately preceding quarter, and 2.58% for the three months ended March 31, 2025. The spot APY of total deposits declined to 2.09% at March 31, 2026 from 2.10% at December 31, 2025.</w:t>
      </w:r>
    </w:p>
    <w:p>
      <w:pPr>
        <w:pStyle w:val="TextBody"/>
        <w:bidi w:val="0"/>
        <w:spacing w:lineRule="auto" w:line="288" w:before="160" w:after="160"/>
        <w:ind w:left="0" w:right="0" w:hanging="360"/>
        <w:jc w:val="left"/>
        <w:rPr/>
      </w:pPr>
      <w:r>
        <w:rPr>
          <w:color w:val="000000"/>
          <w:shd w:fill="FFFFFF" w:val="clear"/>
        </w:rPr>
        <w:t>•</w:t>
      </w:r>
      <w:r>
        <w:rPr>
          <w:rFonts w:ascii="Times New Roman;serif" w:hAnsi="Times New Roman;serif"/>
          <w:b w:val="false"/>
          <w:color w:val="000000"/>
          <w:sz w:val="20"/>
        </w:rPr>
        <w:t>Total deposits, excluding brokered deposits, grew by $277 million for the three months ended March 31, 2026. NIDDA declined by $166 million during the three months ended March 31, 2026, primarily due to seasonality, and represented 30% of total deposits at March 31, 2026. NIDDA grew by $875 million compared to March 31, 2025, one year ago.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48285"/>
                <wp:effectExtent l="0" t="0" r="0" b="0"/>
                <wp:wrapNone/>
                <wp:docPr id="36" name="Frame3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Wholesale funding, including FHLB advances and brokered deposits, declined by $70 million for the three months ended March 31, 2026.</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Total loans declined by $139 million for the three months ended March 31, 2026. Core loans increased by $9 million, impacted by seasonally low commercial volume in the first quarter. Residential, franchise, equipment and municipal finance portfolios declined by a combined $148 million reflective of our balance sheet repositioning strategy.</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loan to deposit ratio declined to 82.3% at March 31, 2026, from 82.7% at December 31, 2025.</w:t>
      </w:r>
    </w:p>
    <w:p>
      <w:pPr>
        <w:pStyle w:val="TextBody"/>
        <w:bidi w:val="0"/>
        <w:spacing w:lineRule="auto" w:line="288" w:before="160" w:after="160"/>
        <w:ind w:left="0" w:right="0" w:hanging="360"/>
        <w:jc w:val="left"/>
        <w:rPr/>
      </w:pPr>
      <w:r>
        <w:rPr>
          <w:color w:val="000000"/>
          <w:shd w:fill="FFFFFF" w:val="clear"/>
        </w:rPr>
        <w:t>•</w:t>
      </w:r>
      <w:r>
        <w:rPr>
          <w:rFonts w:ascii="Times New Roman;serif" w:hAnsi="Times New Roman;serif"/>
          <w:b w:val="false"/>
          <w:color w:val="000000"/>
          <w:sz w:val="20"/>
        </w:rPr>
        <w:t xml:space="preserve">Total criticized and classified loans declined by $146 million, or 12%, while non-performing loans declined by $98 million, or 26%, for the three months ended March 31, 2026. The NPA ratio at March 31, 2026 was 0.79%, including 0.10% related to the guaranteed portion of non-performing SBA loans, compared to 1.08% including 0.11% related to the guaranteed portion of non-performing SBA loans at December 31, 2025. The annualized net charge-off ratio for the three months ended March 31, 2026, was 0.61%; the net charge-off for the trailing twelve months was 0.37%. </w:t>
      </w:r>
    </w:p>
    <w:p>
      <w:pPr>
        <w:pStyle w:val="TextBody"/>
        <w:bidi w:val="0"/>
        <w:spacing w:lineRule="auto" w:line="288" w:before="160" w:after="160"/>
        <w:ind w:left="0" w:right="0" w:hanging="360"/>
        <w:jc w:val="left"/>
        <w:rPr/>
      </w:pPr>
      <w:r>
        <w:rPr>
          <w:color w:val="000000"/>
          <w:shd w:fill="FFFFFF" w:val="clear"/>
        </w:rPr>
        <w:t>•</w:t>
      </w:r>
      <w:r>
        <w:rPr>
          <w:rFonts w:ascii="Times New Roman;serif" w:hAnsi="Times New Roman;serif"/>
          <w:b w:val="false"/>
          <w:color w:val="000000"/>
          <w:sz w:val="20"/>
        </w:rPr>
        <w:t>The ratio of the ACL to total loans declined to 0.87% at March 31, 2026, from 0.91% at December 31, 2025. The ratio of the ACL to non-performing loans increased to 75.90% at March 31, 2026 from 58.99% at December 31, 2025, reflecting the decline in non-performing loans. The provision for credit losses was $24.6 million for the three months ended March 31, 2026, compared to $15.1 million for the three months ended March 31, 2025.</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At March 31, 2026, CET1 was 12.2%. The ratio of tangible common equity to tangible assets was 8.3%. </w:t>
      </w:r>
    </w:p>
    <w:p>
      <w:pPr>
        <w:pStyle w:val="TextBody"/>
        <w:bidi w:val="0"/>
        <w:spacing w:lineRule="auto" w:line="288" w:before="160" w:after="160"/>
        <w:ind w:left="0" w:right="0" w:hanging="360"/>
        <w:jc w:val="left"/>
        <w:rPr/>
      </w:pPr>
      <w:r>
        <w:rPr>
          <w:color w:val="000000"/>
          <w:shd w:fill="FFFFFF" w:val="clear"/>
        </w:rPr>
        <w:t>•</w:t>
      </w:r>
      <w:r>
        <w:rPr>
          <w:rFonts w:ascii="Times New Roman;serif" w:hAnsi="Times New Roman;serif"/>
          <w:b w:val="false"/>
          <w:color w:val="000000"/>
          <w:sz w:val="20"/>
        </w:rPr>
        <w:t xml:space="preserve">Book value and tangible book value per common share were, $41.11 and $40.05, respectively, at March 31, 2026, compared to $41.19 and $40.14, respectively, at December 31, 2025.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During the three months ended March 31, 2026, the Company repurchased approximately 1.3 million shares of its common stock for an aggregate purchase price of $60.0 million. In January 2026, the Company's Board of Directors authorized the repurchase of up to an additional $200 million in shares of its outstanding common stock.</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The Company announced an increase of $0.02 per share in its common stock dividends for the three months ended March 31, 2026, to $0.33 per common share, a 6% increase from the previous level of $0.31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Net Interest Income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interest income is the difference between interest earned on interest earning assets and interest incurred on interest bearing liabilities and is the primary driver of core earnings. Net interest income is impacted by the mix of interest earning assets and interest bearing liabilities, the ratio of interest earning assets to total assets and of interest bearing liabilities to total funding sources, movements in market interest rates and monetary policy, the shape of the yield curve, levels of non-performing assets and pricing pressure from competitors.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mix of interest earning assets is influenced by loan demand, market and competitive conditions in our primary lending markets, by management's continual assessment of the rate of return and relative risk associated with various classes of earning assets and liquidity considerations. The mix of funding sources is influenced by the Company's liquidity profile, management's assessment of the desire for lower-cost funding sources weighed against relationships with customers, our ability to attract and retain core deposit relationships, competition for deposits in the Company's markets and the availability and pricing of other sources of funds.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48285"/>
                <wp:effectExtent l="0" t="0" r="0" b="0"/>
                <wp:wrapNone/>
                <wp:docPr id="37" name="Frame3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for the periods indicated, information about (i) average balances, the total dollar amount of taxable equivalent interest income from earning assets and the resultant average yields; (ii) average balances, the total dollar amount of interest expense on interest bearing liabilities and the resultant average rates; (iii) net interest income; (iv) the interest rate spread; and (v) the net interest margin. Non-accrual loans are included in the average balances presented in this table; however, interest income foregone on non-accrual loans is not included. Interest income, yields, spread and margin have been calculated on a tax-equivalent basis for loans and investment securities that are exempt from federal income taxes, at a federal tax rate of 21% (dollars in thousands):</w:t>
      </w:r>
    </w:p>
    <w:tbl>
      <w:tblPr>
        <w:tblW w:w="13489" w:type="dxa"/>
        <w:jc w:val="left"/>
        <w:tblInd w:w="0" w:type="dxa"/>
        <w:tblLayout w:type="fixed"/>
        <w:tblCellMar>
          <w:top w:w="28" w:type="dxa"/>
          <w:left w:w="28" w:type="dxa"/>
          <w:bottom w:w="28" w:type="dxa"/>
          <w:right w:w="28" w:type="dxa"/>
        </w:tblCellMar>
      </w:tblPr>
      <w:tblGrid>
        <w:gridCol w:w="664"/>
        <w:gridCol w:w="215"/>
        <w:gridCol w:w="217"/>
        <w:gridCol w:w="196"/>
        <w:gridCol w:w="961"/>
        <w:gridCol w:w="109"/>
        <w:gridCol w:w="109"/>
        <w:gridCol w:w="109"/>
        <w:gridCol w:w="109"/>
        <w:gridCol w:w="196"/>
        <w:gridCol w:w="736"/>
        <w:gridCol w:w="109"/>
        <w:gridCol w:w="109"/>
        <w:gridCol w:w="109"/>
        <w:gridCol w:w="109"/>
        <w:gridCol w:w="233"/>
        <w:gridCol w:w="233"/>
        <w:gridCol w:w="253"/>
        <w:gridCol w:w="109"/>
        <w:gridCol w:w="109"/>
        <w:gridCol w:w="109"/>
        <w:gridCol w:w="196"/>
        <w:gridCol w:w="961"/>
        <w:gridCol w:w="109"/>
        <w:gridCol w:w="109"/>
        <w:gridCol w:w="109"/>
        <w:gridCol w:w="109"/>
        <w:gridCol w:w="196"/>
        <w:gridCol w:w="736"/>
        <w:gridCol w:w="109"/>
        <w:gridCol w:w="109"/>
        <w:gridCol w:w="109"/>
        <w:gridCol w:w="109"/>
        <w:gridCol w:w="233"/>
        <w:gridCol w:w="233"/>
        <w:gridCol w:w="253"/>
        <w:gridCol w:w="109"/>
        <w:gridCol w:w="109"/>
        <w:gridCol w:w="109"/>
        <w:gridCol w:w="196"/>
        <w:gridCol w:w="961"/>
        <w:gridCol w:w="109"/>
        <w:gridCol w:w="109"/>
        <w:gridCol w:w="109"/>
        <w:gridCol w:w="109"/>
        <w:gridCol w:w="196"/>
        <w:gridCol w:w="736"/>
        <w:gridCol w:w="109"/>
        <w:gridCol w:w="109"/>
        <w:gridCol w:w="109"/>
        <w:gridCol w:w="109"/>
        <w:gridCol w:w="233"/>
        <w:gridCol w:w="233"/>
        <w:gridCol w:w="253"/>
        <w:gridCol w:w="109"/>
        <w:gridCol w:w="109"/>
        <w:gridCol w:w="109"/>
        <w:gridCol w:w="109"/>
        <w:gridCol w:w="109"/>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Yield/</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Yield/</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Yield/</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earning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Loans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23,835,417 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23,697,215 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23,933,938 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Investment securities </w:t>
            </w:r>
            <w:r>
              <w:rPr>
                <w:rFonts w:ascii="Times New Roman;serif" w:hAnsi="Times New Roman;serif"/>
                <w:b w:val="false"/>
                <w:color w:val="000000"/>
                <w:sz w:val="10"/>
              </w:rPr>
              <w:t>(3)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9,583,958 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9,104,228 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interest earning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earning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33,978,898 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34,018,479 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33,826,713 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earning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1,389,731 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35,088,881 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35,185,759 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34,975,459 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bearing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bearing demand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6,033,099 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 and money market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10,245,692 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10,123,959 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10,833,734 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Time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3,449,304 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bearing deposits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20,030,047 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19,645,522 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19,972,310 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FHLB advances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and other borrowings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bearing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22,590,478 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22,460,094 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23,672,736 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bearing demand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8,463,491 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8,708,397 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non-interest bearing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31,984,753 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32,091,072 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32,090,770 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3,094,687 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2,884,689 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35,088,881 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35,185,759 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34,975,459 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spread</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margin</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(1)On a tax-equivalent basis where applicable. The tax-equivalent adjustment for tax-exempt loans was $2.7 million for the three months ended March 31, 2026, December 31, 2025 and March 31, 2025. The tax-equivalent adjustment for tax-exempt investment securities was $0.7 million for the three months ended March 31, 2026, December 31, 2025, and March 31,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(2)Annualized.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(3)At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Three months ended March 31, 2026 compared to the three months ended December 31, 2025</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interest income, calculated on a tax-equivalent basis, was $252.4 million for the three months ended March 31, 2026, compared to $261.6 million for the three months ended December 31, 2025, a decrease of $9.3 million. The decrease was comprised of decreases in tax-equivalent interest income and interest expense of $20.3 million and $11.0 million, respectively. The quarter-over-quarter decline in interest income was primarily due to lower yields on earning assets as coupon rates on floating rate instruments reset down, and was further impacted by lower SOFR/Fed fund basis. The decline in interest expense primarily related to a lower average cost of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48285"/>
                <wp:effectExtent l="0" t="0" r="0" b="0"/>
                <wp:wrapNone/>
                <wp:docPr id="38" name="Frame3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net interest margin, calculated on a tax-equivalent basis, was 2.99% for the three months ended March 31, 2026, compared to 3.06% for the three months ended December 31, 2025. The decline reflected variable rate assets repricing faster than the continued improvement in funding cost and funding mix dynamics. Factors impacting the net interest margin for the three months ended March 31, 2026 compared to the three months ended December 31, 2025 included:</w:t>
      </w:r>
    </w:p>
    <w:p>
      <w:pPr>
        <w:pStyle w:val="TextBody"/>
        <w:bidi w:val="0"/>
        <w:spacing w:lineRule="auto" w:line="288" w:before="160" w:after="16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The tax-equivalent yield on investment securities decreased to </w:t>
      </w:r>
      <w:r>
        <w:rPr>
          <w:rFonts w:ascii="Times New Roman;serif" w:hAnsi="Times New Roman;serif"/>
          <w:b w:val="false"/>
          <w:color w:val="000000"/>
          <w:sz w:val="20"/>
        </w:rPr>
        <w:t>4.55% for the three months ended March 31, 2026, from 4.93% for the three months ended December 31, 2025 primarily impacted by resets on variable rate securities.</w:t>
      </w:r>
    </w:p>
    <w:p>
      <w:pPr>
        <w:pStyle w:val="TextBody"/>
        <w:bidi w:val="0"/>
        <w:spacing w:lineRule="auto" w:line="288" w:before="160" w:after="160"/>
        <w:ind w:left="0" w:right="0" w:hanging="360"/>
        <w:jc w:val="left"/>
        <w:rPr/>
      </w:pPr>
      <w:r>
        <w:rPr>
          <w:color w:val="000000"/>
          <w:shd w:fill="FFFFFF" w:val="clear"/>
        </w:rPr>
        <w:t>•</w:t>
      </w:r>
      <w:r>
        <w:rPr>
          <w:rFonts w:ascii="Times New Roman;serif" w:hAnsi="Times New Roman;serif"/>
          <w:b w:val="false"/>
          <w:color w:val="000000"/>
          <w:sz w:val="20"/>
        </w:rPr>
        <w:t>The tax-equivalent yield on loans decreased to 5.31%</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from </w:t>
      </w:r>
      <w:r>
        <w:rPr>
          <w:rFonts w:ascii="Times New Roman;serif" w:hAnsi="Times New Roman;serif"/>
          <w:b w:val="false"/>
          <w:color w:val="000000"/>
          <w:sz w:val="20"/>
        </w:rPr>
        <w:t>5.37%</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December 31, 2025, reflecting the impact of declining market rates on the predominantly floating-rate commercial loan portfolio.</w:t>
      </w:r>
    </w:p>
    <w:p>
      <w:pPr>
        <w:pStyle w:val="TextBody"/>
        <w:bidi w:val="0"/>
        <w:spacing w:lineRule="auto" w:line="288" w:before="160" w:after="160"/>
        <w:ind w:left="0" w:right="0" w:hanging="360"/>
        <w:jc w:val="left"/>
        <w:rPr/>
      </w:pPr>
      <w:r>
        <w:rPr>
          <w:color w:val="000000"/>
          <w:shd w:fill="FFFFFF" w:val="clear"/>
        </w:rPr>
        <w:t>•</w:t>
      </w:r>
      <w:r>
        <w:rPr>
          <w:rFonts w:ascii="Times New Roman;serif" w:hAnsi="Times New Roman;serif"/>
          <w:b w:val="false"/>
          <w:color w:val="000000"/>
          <w:sz w:val="20"/>
          <w:shd w:fill="FFFFFF" w:val="clear"/>
        </w:rPr>
        <w:t>The average cost of interest bearing deposits decreased to</w:t>
      </w:r>
      <w:r>
        <w:rPr>
          <w:color w:val="000000"/>
        </w:rPr>
        <w:t xml:space="preserve"> </w:t>
      </w:r>
      <w:r>
        <w:rPr>
          <w:rFonts w:ascii="Times New Roman;serif" w:hAnsi="Times New Roman;serif"/>
          <w:b w:val="false"/>
          <w:color w:val="000000"/>
          <w:sz w:val="20"/>
        </w:rPr>
        <w:t xml:space="preserve">3.01% for the three months ended March 31, 2026, from 3.15% for the three months ended December 31, 2025 as we continued to reduce deposit pricing in response to a lower federal fund rate. The average cost of interest bearing deposits was impacted by seasonal declines in average NIDDA, which resulted in increased reliance on higher-cost wholesale funding, including brokered deposits. </w:t>
      </w:r>
    </w:p>
    <w:p>
      <w:pPr>
        <w:pStyle w:val="TextBody"/>
        <w:bidi w:val="0"/>
        <w:spacing w:lineRule="auto" w:line="288" w:before="160" w:after="160"/>
        <w:ind w:left="0" w:right="0" w:hanging="360"/>
        <w:jc w:val="left"/>
        <w:rPr/>
      </w:pPr>
      <w:r>
        <w:rPr>
          <w:color w:val="000000"/>
          <w:shd w:fill="FFFFFF" w:val="clear"/>
        </w:rPr>
        <w:t>•</w:t>
      </w:r>
      <w:r>
        <w:rPr>
          <w:rFonts w:ascii="Times New Roman;serif" w:hAnsi="Times New Roman;serif"/>
          <w:b w:val="false"/>
          <w:color w:val="000000"/>
          <w:sz w:val="20"/>
        </w:rPr>
        <w:t>The average rate paid on FHLB advances decreased to</w:t>
      </w:r>
      <w:r>
        <w:rPr>
          <w:color w:val="000000"/>
          <w:shd w:fill="FFFFFF" w:val="clear"/>
        </w:rPr>
        <w:t xml:space="preserve"> </w:t>
      </w:r>
      <w:r>
        <w:rPr>
          <w:rFonts w:ascii="Times New Roman;serif" w:hAnsi="Times New Roman;serif"/>
          <w:b w:val="false"/>
          <w:color w:val="000000"/>
          <w:sz w:val="20"/>
        </w:rPr>
        <w:t xml:space="preserve">3.68%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March 31, 2026, from</w:t>
      </w:r>
      <w:r>
        <w:rPr>
          <w:color w:val="000000"/>
          <w:shd w:fill="FFFFFF" w:val="clear"/>
        </w:rPr>
        <w:t xml:space="preserve"> </w:t>
      </w:r>
      <w:r>
        <w:rPr>
          <w:rFonts w:ascii="Times New Roman;serif" w:hAnsi="Times New Roman;serif"/>
          <w:b w:val="false"/>
          <w:color w:val="000000"/>
          <w:sz w:val="20"/>
        </w:rPr>
        <w:t xml:space="preserve">3.84%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December 31, 2025, driven by repayment of higher rate short-term advances, partially offset by the maturities of some cash flow hedges</w:t>
      </w:r>
      <w:r>
        <w:rPr>
          <w:rFonts w:ascii="Times New Roman;serif" w:hAnsi="Times New Roman;serif"/>
          <w:b w:val="false"/>
          <w:color w:val="000000"/>
          <w:sz w:val="20"/>
          <w:shd w:fill="FFFFFF" w:val="clear"/>
        </w:rPr>
        <w:t>.</w:t>
      </w:r>
    </w:p>
    <w:p>
      <w:pPr>
        <w:pStyle w:val="TextBody"/>
        <w:bidi w:val="0"/>
        <w:spacing w:lineRule="auto" w:line="288" w:before="160" w:after="16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Three months ended March 31, 2026 compared to the three months ended March 31, 2025</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interest income, calculated on a tax-equivalent basis, was $252.4 million for the three months ended March 31, 2026 compared to $236.6 million for the three months ended March 31, 2025, an increase of $15.8 million. The increase was comprised of decreases in tax-equivalent interest income and interest expense of $21.6 million and $37.4 million, respectively.</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tax-equivalent interest income for the three months ended March 31, 2026 compared to the three months ended three months ended March 31, 2025 was attributable to a decrease in the yields on interest earnings assets. The decrease in interest expense for the three months ended March 31, 2026 compared to the three months ended March 31, 2025, was attributable to decreases in both average balance and cost of interest bearing liabilities.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net interest margin, calculated on a tax-equivalent basis, increased to 2.99% for the three months ended March 31, 2026, from 2.81% for the three months ended March 31, 2025. The increase in the net interest margin for the three months ended March 31, 2026 compared to the three months ended March 31, 2025 was primarily a result of balance sheet repositioning, particularly an improved funding mix. For the three months ended March 31, 2026 compared to the three months ended March 31, 2025, average NIDDA grew by $1.1 billion while average FHLB advances declined by $797 million. Average NIDDA was 29.7% of average total deposits for the three months ended March 31, 2026, up from 27.1% for the three months ended March 31, 2025. Within interest bearing deposits, there was a shift from generally higher priced time deposits to generally lower priced forms of interest bearing deposits. On the asset side of the balance sheet, average core loans increased to 67.9% of average loans from 64.8% of average loans, while residential loans declined to 29.1% of average loans from 31.4% of average loans.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Decreased yields on average interest earnings assets as well as the decrease in the cost of interest bearing liabilities were primarily attributable to rate cuts throughout the later part of 2025.</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Provision for Credit Losses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provision for credit losses is a charge or credit to earnings required to maintain the ACL at a level consistent with management’s estimate of expected credit losses on financial assets carried at amortized cost at the balance sheet date. The amount of the provision is impacted by changes in current economic conditions as well as in management's reasonable and supportable economic forecast, loan originations and runoff, changes in portfolio mix, risk rating migration and portfolio seasoning, changes in specific reserves, changes in expected prepayment speeds and other assumptions. The provision for credit losses also includes amounts related to off-balance sheet credit exposures and may include amounts related to accrued interest receivable and AFS debt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48285"/>
                <wp:effectExtent l="0" t="0" r="0" b="0"/>
                <wp:wrapNone/>
                <wp:docPr id="39" name="Frame3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provision for credit losses for the periods indicated (in thousands):</w:t>
      </w:r>
    </w:p>
    <w:tbl>
      <w:tblPr>
        <w:tblW w:w="8626" w:type="dxa"/>
        <w:jc w:val="left"/>
        <w:tblInd w:w="0" w:type="dxa"/>
        <w:tblLayout w:type="fixed"/>
        <w:tblCellMar>
          <w:top w:w="28" w:type="dxa"/>
          <w:left w:w="28" w:type="dxa"/>
          <w:bottom w:w="28" w:type="dxa"/>
          <w:right w:w="28" w:type="dxa"/>
        </w:tblCellMar>
      </w:tblPr>
      <w:tblGrid>
        <w:gridCol w:w="1587"/>
        <w:gridCol w:w="1391"/>
        <w:gridCol w:w="1402"/>
        <w:gridCol w:w="109"/>
        <w:gridCol w:w="109"/>
        <w:gridCol w:w="207"/>
        <w:gridCol w:w="207"/>
        <w:gridCol w:w="402"/>
        <w:gridCol w:w="1374"/>
        <w:gridCol w:w="207"/>
        <w:gridCol w:w="109"/>
        <w:gridCol w:w="109"/>
        <w:gridCol w:w="109"/>
        <w:gridCol w:w="211"/>
        <w:gridCol w:w="721"/>
        <w:gridCol w:w="109"/>
        <w:gridCol w:w="109"/>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related to funded portion of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related to off-balance sheet credit exposures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24,586 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most significant factor impacting the provision for credit losses for the three months ended March 31, 2026 was an increase in specific reserves, primarily related to two C&amp;I loans in unrelated industries.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provision for credit losses may be volatile and the level of the ACL may change materially from current levels. Future levels of the ACL could be significantly impacted, in either direction, by changes in factors such as, but not limited to, economic conditions or the economic outlook, the composition of the loan portfolio, the financial condition of our borrowers and collateral values.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determination of the amount of the ACL is complex and involves a high degree of judgment and subjectivity. See “Analysis of the Allowance for Credit Losses” below for more information about how we determine the appropriate level of the ACL and about factors that impacted the level of the ACL.</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Non-Interest Income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comparison of the categories of non-interest income for the periods indicated (in thousands):</w:t>
      </w:r>
    </w:p>
    <w:tbl>
      <w:tblPr>
        <w:tblW w:w="7111" w:type="dxa"/>
        <w:jc w:val="left"/>
        <w:tblInd w:w="0" w:type="dxa"/>
        <w:tblLayout w:type="fixed"/>
        <w:tblCellMar>
          <w:top w:w="28" w:type="dxa"/>
          <w:left w:w="28" w:type="dxa"/>
          <w:bottom w:w="28" w:type="dxa"/>
          <w:right w:w="28" w:type="dxa"/>
        </w:tblCellMar>
      </w:tblPr>
      <w:tblGrid>
        <w:gridCol w:w="1038"/>
        <w:gridCol w:w="912"/>
        <w:gridCol w:w="915"/>
        <w:gridCol w:w="109"/>
        <w:gridCol w:w="109"/>
        <w:gridCol w:w="207"/>
        <w:gridCol w:w="207"/>
        <w:gridCol w:w="402"/>
        <w:gridCol w:w="1374"/>
        <w:gridCol w:w="207"/>
        <w:gridCol w:w="109"/>
        <w:gridCol w:w="109"/>
        <w:gridCol w:w="109"/>
        <w:gridCol w:w="211"/>
        <w:gridCol w:w="721"/>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service charges and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on investment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markets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 syndication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 markets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24,700 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more significant items included in other non-interest income in the table above typically may include commercial card revenue, lending related fees other than origination fees, and BOLI income. The increase for the three months ended March 31, 2026, compared to the three months ended March 31, 2025, was primarily a result of increase in commercial card revenue. </w:t>
      </w:r>
    </w:p>
    <w:p>
      <w:pPr>
        <w:pStyle w:val="TextBody"/>
        <w:bidi w:val="0"/>
        <w:spacing w:lineRule="auto" w:line="288" w:before="240" w:after="16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Non-Interest Expense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components of non-interest expense for the periods indicated (in thousands):</w:t>
      </w:r>
    </w:p>
    <w:tbl>
      <w:tblPr>
        <w:tblW w:w="7023" w:type="dxa"/>
        <w:jc w:val="left"/>
        <w:tblInd w:w="0" w:type="dxa"/>
        <w:tblLayout w:type="fixed"/>
        <w:tblCellMar>
          <w:top w:w="28" w:type="dxa"/>
          <w:left w:w="28" w:type="dxa"/>
          <w:bottom w:w="28" w:type="dxa"/>
          <w:right w:w="28" w:type="dxa"/>
        </w:tblCellMar>
      </w:tblPr>
      <w:tblGrid>
        <w:gridCol w:w="1343"/>
        <w:gridCol w:w="1178"/>
        <w:gridCol w:w="1184"/>
        <w:gridCol w:w="211"/>
        <w:gridCol w:w="826"/>
        <w:gridCol w:w="109"/>
        <w:gridCol w:w="109"/>
        <w:gridCol w:w="109"/>
        <w:gridCol w:w="109"/>
        <w:gridCol w:w="211"/>
        <w:gridCol w:w="826"/>
        <w:gridCol w:w="109"/>
        <w:gridCol w:w="109"/>
        <w:gridCol w:w="109"/>
        <w:gridCol w:w="109"/>
        <w:gridCol w:w="109"/>
        <w:gridCol w:w="109"/>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Occupancy and equipment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insurance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of operating lease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Deposit related rebate and commission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48285"/>
                <wp:effectExtent l="0" t="0" r="0" b="0"/>
                <wp:wrapNone/>
                <wp:docPr id="40" name="Frame4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compensation was primarily attributable to increased head count as we invest in the growth of the franchise and routine salary increases. Employee compensation and benefits for the three months ended March 31, 2026 includes an additional $5.4 million compensation related expense.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deposit insurance expense was primarily attributable to a $6.7 million release of FDIC special assessment accrual during the three months ended March 31, 2026. A lower base assessment rate for the three months ended March 31, 2026 compared to the three months ended March 31, 2025, also contributed to the decline in deposit insurance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Analysis of Financial Condition</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continued to execute on our organic balance sheet transformation strategy, focused on improving both the funding profile and asset mix. For the three months ended March 31, 2026, total deposits remained relatively stable, increasing by $7 million, while non-brokered deposits increased by $277 million over the same period. Wholesale funding, including FHLB advances and brokered deposits, declined by $70 million. NIDDA declined by $166 million representing 30% of total deposits, primarily due to seasonality. Year-over-year, for the three months ended March 31, 2026 compared to the three months ended March 31, 2025, average NIDDA increased by $1.1 billion, consistent with continued progress in improving our funding profile.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loans declined by $139 million for the three months ended March 31, 2026, primarily due to seasonally low commercial volume and continued runoff of non-core loans. Core loans increased by $9 million while the residential, franchise, equipment and municipal finance portfolios declined by $148 million. The securities portfolio grew by $242 million for the three months ended March 31, 2026. The loan-to-deposit ratio was 82.3% at March 31, 2026 compared to 82.7% at December 31, 2025.</w:t>
      </w:r>
    </w:p>
    <w:p>
      <w:pPr>
        <w:pStyle w:val="TextBody"/>
        <w:bidi w:val="0"/>
        <w:spacing w:lineRule="auto" w:line="288" w:before="16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Investment Securities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amortized cost and carrying value, which is fair value, of investment securities at the dates indicated (in thousands):</w:t>
      </w:r>
    </w:p>
    <w:tbl>
      <w:tblPr>
        <w:tblW w:w="10205" w:type="dxa"/>
        <w:jc w:val="left"/>
        <w:tblInd w:w="0" w:type="dxa"/>
        <w:tblLayout w:type="fixed"/>
        <w:tblCellMar>
          <w:top w:w="28" w:type="dxa"/>
          <w:left w:w="28" w:type="dxa"/>
          <w:bottom w:w="28" w:type="dxa"/>
          <w:right w:w="28" w:type="dxa"/>
        </w:tblCellMar>
      </w:tblPr>
      <w:tblGrid>
        <w:gridCol w:w="1412"/>
        <w:gridCol w:w="1071"/>
        <w:gridCol w:w="1075"/>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155"/>
      </w:tblGrid>
      <w:tr>
        <w:trPr/>
        <w:tc>
          <w:tcPr>
            <w:tcW w:w="141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2105" w:type="dxa"/>
            <w:gridSpan w:val="10"/>
            <w:tcBorders/>
          </w:tcPr>
          <w:p>
            <w:pPr>
              <w:pStyle w:val="TableContents"/>
              <w:bidi w:val="0"/>
              <w:spacing w:before="0" w:after="283"/>
              <w:jc w:val="left"/>
              <w:rPr>
                <w:sz w:val="4"/>
                <w:szCs w:val="4"/>
              </w:rPr>
            </w:pPr>
            <w:r>
              <w:rPr>
                <w:sz w:val="4"/>
                <w:szCs w:val="4"/>
              </w:rPr>
            </w:r>
          </w:p>
        </w:tc>
      </w:tr>
      <w:tr>
        <w:trPr/>
        <w:tc>
          <w:tcPr>
            <w:tcW w:w="3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residential MBS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commercial MBS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residential MBS and CMOs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commercial MBS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 family real estate-backed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Non-mortgage 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9,773,608 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9,525,046 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9,257,917 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9,263,651 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pPr>
      <w:r>
        <w:rPr>
          <w:rFonts w:ascii="Times New Roman;serif" w:hAnsi="Times New Roman;serif"/>
          <w:b w:val="false"/>
          <w:color w:val="000000"/>
          <w:sz w:val="20"/>
        </w:rPr>
        <w:t>Our investment strategy is focused on ensuring adequate liquidity, maintaining a suitable balance of high credit quality, diverse assets, managing interest rate risk, and generating acceptable returns given our established risk parameters. We have sought to maintain liquidity by investing a significant portion of the portfolio in high quality liquid securities including U.S. Treasury and U.S. Government Agency and sponsored enterprise securities. We have also invested in highly-rated structured products, including private-label commercial and residential MBS, CLOs, single family real estate-backed securities and non-mortgage asset-backed securities that, while somewhat less liquid, are generally pledgeable at either the FHLB or the FRB and provide us with attractive yields. Investment grade municipal securities provide liquidity and attractive tax-equivalent yields. We remain committed to keeping the duration of our securities portfolio short; relatively short effective portfolio duration helps mitigate interest rate risk. T</w:t>
      </w:r>
      <w:r>
        <w:rPr>
          <w:rFonts w:ascii="Times New Roman;serif" w:hAnsi="Times New Roman;serif"/>
          <w:b w:val="false"/>
          <w:color w:val="000000"/>
          <w:sz w:val="20"/>
          <w:shd w:fill="FFFFFF" w:val="clear"/>
        </w:rPr>
        <w:t xml:space="preserve">he estimated effective duration of the investment portfolio was 1.93 years and </w:t>
      </w:r>
      <w:r>
        <w:rPr>
          <w:rFonts w:ascii="Times New Roman;serif" w:hAnsi="Times New Roman;serif"/>
          <w:b w:val="false"/>
          <w:color w:val="000000"/>
          <w:sz w:val="20"/>
        </w:rPr>
        <w:t xml:space="preserve">the estimated weighted average life of the portfolio was </w:t>
      </w:r>
      <w:r>
        <w:rPr>
          <w:rFonts w:ascii="Times New Roman;serif" w:hAnsi="Times New Roman;serif"/>
          <w:b w:val="false"/>
          <w:color w:val="000000"/>
          <w:sz w:val="20"/>
          <w:shd w:fill="FFFFFF" w:val="clear"/>
        </w:rPr>
        <w:t xml:space="preserve">5.2 years </w:t>
      </w:r>
      <w:r>
        <w:rPr>
          <w:rFonts w:ascii="Times New Roman;serif" w:hAnsi="Times New Roman;serif"/>
          <w:b w:val="false"/>
          <w:color w:val="000000"/>
          <w:sz w:val="20"/>
        </w:rPr>
        <w:t>as of March 31, 2026. Approximately 65% of the securities portfolio was floating rate at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48285"/>
                <wp:effectExtent l="0" t="0" r="0" b="0"/>
                <wp:wrapNone/>
                <wp:docPr id="41" name="Frame4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investment securities AFS portfolio was in a net unrealized loss position of $274.1 million at March 31, 2026, increasing by $6.9 million compared to a net unrealized loss position of $267.1 million at December 31, 2025. Net unrealized losses at March 31, 2026 included $23.1 million of gross unrealized gains and $297.1 million of gross unrealized losses. Investment securities available for sale in unrealized loss positions at March 31, 2026 had an aggregate fair value of $5.2 billion. The unrealized losses resulted primarily from a sustained period of higher interest rates, and in some cases, wider spreads compared to the levels at which securities were purchased. None of the unrealized losses were attributable to credit loss impairments.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external ratings distribution of our AFS securities portfolio at the dates indicated is depicted in the charts below:</w:t>
      </w:r>
    </w:p>
    <w:tbl>
      <w:tblPr>
        <w:tblW w:w="3550" w:type="dxa"/>
        <w:jc w:val="left"/>
        <w:tblInd w:w="0" w:type="dxa"/>
        <w:tblLayout w:type="fixed"/>
        <w:tblCellMar>
          <w:top w:w="28" w:type="dxa"/>
          <w:left w:w="28" w:type="dxa"/>
          <w:bottom w:w="28" w:type="dxa"/>
          <w:right w:w="28" w:type="dxa"/>
        </w:tblCellMar>
      </w:tblPr>
      <w:tblGrid>
        <w:gridCol w:w="526"/>
        <w:gridCol w:w="463"/>
        <w:gridCol w:w="465"/>
        <w:gridCol w:w="109"/>
        <w:gridCol w:w="109"/>
        <w:gridCol w:w="109"/>
        <w:gridCol w:w="517"/>
        <w:gridCol w:w="517"/>
        <w:gridCol w:w="735"/>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1ABE6"/>
                <w:sz w:val="20"/>
              </w:rPr>
            </w:pPr>
            <w:r>
              <w:rPr>
                <w:rFonts w:ascii="Times New Roman;serif" w:hAnsi="Times New Roman;serif"/>
                <w:b/>
                <w:color w:val="01ABE6"/>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1ABE6"/>
                <w:sz w:val="20"/>
              </w:rPr>
            </w:pPr>
            <w:r>
              <w:rPr>
                <w:rFonts w:ascii="Times New Roman;serif" w:hAnsi="Times New Roman;serif"/>
                <w:b/>
                <w:color w:val="01ABE6"/>
                <w:sz w:val="20"/>
              </w:rPr>
              <w:t>December 31, 2025</w:t>
            </w:r>
          </w:p>
        </w:tc>
      </w:tr>
    </w:tbl>
    <w:p>
      <w:pPr>
        <w:pStyle w:val="TextBody"/>
        <w:bidi w:val="0"/>
        <w:spacing w:lineRule="auto" w:line="288" w:before="160" w:after="160"/>
        <w:ind w:left="0" w:right="0" w:firstLine="360"/>
        <w:jc w:val="left"/>
        <w:rPr/>
      </w:pPr>
      <w:r>
        <w:rPr/>
        <w:drawing>
          <wp:inline distT="0" distB="0" distL="0" distR="0">
            <wp:extent cx="3095625" cy="2466975"/>
            <wp:effectExtent l="0" t="0" r="0" b="0"/>
            <wp:docPr id="4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 descr=""/>
                    <pic:cNvPicPr>
                      <a:picLocks noChangeAspect="1" noChangeArrowheads="1"/>
                    </pic:cNvPicPr>
                  </pic:nvPicPr>
                  <pic:blipFill>
                    <a:blip r:embed="rId2"/>
                    <a:stretch>
                      <a:fillRect/>
                    </a:stretch>
                  </pic:blipFill>
                  <pic:spPr bwMode="auto">
                    <a:xfrm>
                      <a:off x="0" y="0"/>
                      <a:ext cx="3095625" cy="2466975"/>
                    </a:xfrm>
                    <a:prstGeom prst="rect">
                      <a:avLst/>
                    </a:prstGeom>
                  </pic:spPr>
                </pic:pic>
              </a:graphicData>
            </a:graphic>
          </wp:inline>
        </w:drawing>
      </w:r>
      <w:bookmarkStart w:id="0" w:name="i-1"/>
      <w:bookmarkEnd w:id="0"/>
      <w:r>
        <w:rPr>
          <w:color w:val="000000"/>
        </w:rPr>
        <w:t>    </w:t>
      </w:r>
      <w:r>
        <w:rPr/>
        <w:drawing>
          <wp:inline distT="0" distB="0" distL="0" distR="0">
            <wp:extent cx="3286125" cy="2466975"/>
            <wp:effectExtent l="0" t="0" r="0" b="0"/>
            <wp:docPr id="4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 descr=""/>
                    <pic:cNvPicPr>
                      <a:picLocks noChangeAspect="1" noChangeArrowheads="1"/>
                    </pic:cNvPicPr>
                  </pic:nvPicPr>
                  <pic:blipFill>
                    <a:blip r:embed="rId3"/>
                    <a:stretch>
                      <a:fillRect/>
                    </a:stretch>
                  </pic:blipFill>
                  <pic:spPr bwMode="auto">
                    <a:xfrm>
                      <a:off x="0" y="0"/>
                      <a:ext cx="3286125" cy="2466975"/>
                    </a:xfrm>
                    <a:prstGeom prst="rect">
                      <a:avLst/>
                    </a:prstGeom>
                  </pic:spPr>
                </pic:pic>
              </a:graphicData>
            </a:graphic>
          </wp:inline>
        </w:drawing>
      </w:r>
      <w:bookmarkStart w:id="1" w:name="i-2"/>
      <w:bookmarkEnd w:id="1"/>
      <w:r>
        <w:rPr>
          <w:color w:val="000000"/>
        </w:rPr>
        <w:t xml:space="preserve">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evaluate the credit quality of individual securities in the portfolio quarterly to determine whether we expect to recover the amortized cost basis of the investments in unrealized loss positions. This evaluation considers, but is not necessarily limited to, the following factors, the relative significance of which varies depending on the circumstances pertinent to each individual security:</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Whether we intend to sell the security prior to recovery of its amortized cost basis;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Whether it is more likely than not that we will be required to sell the security prior to recovery of its amortized cost basis;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extent to which fair value is less than amortized cost;</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Adverse conditions specifically related to the security, a sector, an industry or geographic area;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Changes in the financial condition of the issuer or underlying loan obligors;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payment structure and remaining payment terms of the security, including levels of subordination or over-collateralization;</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Failure of the issuer to make scheduled payments;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Changes in external credit ratings;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Relevant market data; and</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Estimated prepayments, defaults, and the value and performance of underlying collateral at the individual security level.</w:t>
      </w:r>
    </w:p>
    <w:p>
      <w:pPr>
        <w:pStyle w:val="TextBody"/>
        <w:bidi w:val="0"/>
        <w:spacing w:lineRule="auto" w:line="288" w:before="24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regularly engage with bond managers to monitor trends in underlying collateral, including potential downgrades and subsequent cash flow diversions, liquidity, ratings migration, and any other relevant developments.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sold, and do not anticipate the need to sell, securities in unrealized loss positions to generate liquidity. At March 31, 2026, the Company did not have an intent to sell securities that were in significant unrealized loss positions, and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48285"/>
                <wp:effectExtent l="0" t="0" r="0" b="0"/>
                <wp:wrapNone/>
                <wp:docPr id="44" name="Frame4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was not more likely than not that the Company would be required to sell these securities before recovery of the amortized cost basis, which may be at maturity. The substantial majority of our investment securities are eligible to be pledged at either the FHLB or FRB.</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majority of our investment securities are classified within level 2 of the fair value hierarchy. U.S. Treasury securities and marketable equity securities are classified within level 1 of the hierarchy. For additional disclosure related to the fair values of investment securities, see Note 8 to the consolidated financial statements.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weighted average prospective yields based on current rates, categorized by scheduled maturity, for AFS investment securities as of March 31, 2026. Scheduled maturities have been adjusted for anticipated prepayments when applicable. Yields on tax-exempt securities have been calculated on a tax-equivalent basis, based on a federal income tax rate of 21%:</w:t>
      </w:r>
    </w:p>
    <w:tbl>
      <w:tblPr>
        <w:tblW w:w="10205" w:type="dxa"/>
        <w:jc w:val="left"/>
        <w:tblInd w:w="0" w:type="dxa"/>
        <w:tblLayout w:type="fixed"/>
        <w:tblCellMar>
          <w:top w:w="28" w:type="dxa"/>
          <w:left w:w="28" w:type="dxa"/>
          <w:bottom w:w="28" w:type="dxa"/>
          <w:right w:w="28" w:type="dxa"/>
        </w:tblCellMar>
      </w:tblPr>
      <w:tblGrid>
        <w:gridCol w:w="1166"/>
        <w:gridCol w:w="788"/>
        <w:gridCol w:w="791"/>
        <w:gridCol w:w="109"/>
        <w:gridCol w:w="109"/>
        <w:gridCol w:w="298"/>
        <w:gridCol w:w="241"/>
        <w:gridCol w:w="475"/>
        <w:gridCol w:w="109"/>
        <w:gridCol w:w="109"/>
        <w:gridCol w:w="109"/>
        <w:gridCol w:w="109"/>
        <w:gridCol w:w="109"/>
        <w:gridCol w:w="347"/>
        <w:gridCol w:w="225"/>
        <w:gridCol w:w="561"/>
        <w:gridCol w:w="109"/>
        <w:gridCol w:w="109"/>
        <w:gridCol w:w="109"/>
        <w:gridCol w:w="109"/>
        <w:gridCol w:w="109"/>
        <w:gridCol w:w="337"/>
        <w:gridCol w:w="228"/>
        <w:gridCol w:w="552"/>
        <w:gridCol w:w="109"/>
        <w:gridCol w:w="109"/>
        <w:gridCol w:w="109"/>
        <w:gridCol w:w="109"/>
        <w:gridCol w:w="109"/>
        <w:gridCol w:w="283"/>
        <w:gridCol w:w="246"/>
        <w:gridCol w:w="431"/>
        <w:gridCol w:w="109"/>
        <w:gridCol w:w="109"/>
        <w:gridCol w:w="109"/>
        <w:gridCol w:w="109"/>
        <w:gridCol w:w="109"/>
        <w:gridCol w:w="255"/>
        <w:gridCol w:w="256"/>
        <w:gridCol w:w="327"/>
      </w:tblGrid>
      <w:tr>
        <w:trPr/>
        <w:tc>
          <w:tcPr>
            <w:tcW w:w="116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Within 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 One Year</w:t>
              <w:br/>
              <w:t>Through Five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 Five Years</w:t>
              <w:br/>
              <w:t>Through Ten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 Ten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residential MBS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commercial MBS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 residential MBS and CMOs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 commercial MBS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 family real estate-backed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Non-mortgage asset-backed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Loans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composition of the loan portfolio at the dates indicated (dollars in thousands):</w:t>
      </w:r>
    </w:p>
    <w:tbl>
      <w:tblPr>
        <w:tblW w:w="10205" w:type="dxa"/>
        <w:jc w:val="left"/>
        <w:tblInd w:w="0" w:type="dxa"/>
        <w:tblLayout w:type="fixed"/>
        <w:tblCellMar>
          <w:top w:w="28" w:type="dxa"/>
          <w:left w:w="28" w:type="dxa"/>
          <w:bottom w:w="28" w:type="dxa"/>
          <w:right w:w="28" w:type="dxa"/>
        </w:tblCellMar>
      </w:tblPr>
      <w:tblGrid>
        <w:gridCol w:w="1070"/>
        <w:gridCol w:w="907"/>
        <w:gridCol w:w="913"/>
        <w:gridCol w:w="211"/>
        <w:gridCol w:w="1081"/>
        <w:gridCol w:w="109"/>
        <w:gridCol w:w="109"/>
        <w:gridCol w:w="109"/>
        <w:gridCol w:w="109"/>
        <w:gridCol w:w="393"/>
        <w:gridCol w:w="340"/>
        <w:gridCol w:w="791"/>
        <w:gridCol w:w="109"/>
        <w:gridCol w:w="109"/>
        <w:gridCol w:w="109"/>
        <w:gridCol w:w="211"/>
        <w:gridCol w:w="1081"/>
        <w:gridCol w:w="109"/>
        <w:gridCol w:w="109"/>
        <w:gridCol w:w="109"/>
        <w:gridCol w:w="109"/>
        <w:gridCol w:w="393"/>
        <w:gridCol w:w="340"/>
        <w:gridCol w:w="791"/>
        <w:gridCol w:w="109"/>
        <w:gridCol w:w="109"/>
        <w:gridCol w:w="109"/>
        <w:gridCol w:w="157"/>
      </w:tblGrid>
      <w:tr>
        <w:trPr/>
        <w:tc>
          <w:tcPr>
            <w:tcW w:w="107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Total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 commercial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 commercial real estate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warehouse lending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core loans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16,577,380 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16,568,587 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Pinnacle - municipal finance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Franchise and equipment finance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commercial </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17,278,575 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17,290,707 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 single family residential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insured residential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residential</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24,134,929 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23,926,139 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24,053,882 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48285"/>
                <wp:effectExtent l="0" t="0" r="0" b="0"/>
                <wp:wrapNone/>
                <wp:docPr id="45" name="Frame4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Commercial loans and leases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Commercial loans include a diverse portfolio of commercial and industrial loans and lines of credit, loans secured by owner-occupied commercial real-estate, income-producing non-owner occupied commercial real estate, construction loans, SBA loans, mortgage warehouse lines of credit, municipal loans and leases and franchise and equipment finance loans and leases.</w:t>
      </w:r>
    </w:p>
    <w:p>
      <w:pPr>
        <w:pStyle w:val="TextBody"/>
        <w:bidi w:val="0"/>
        <w:spacing w:lineRule="auto" w:line="288" w:before="16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Commercial Real Estate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real estate loans include term loans secured by non-owner occupied income producing properties including rental apartments, industrial properties, retail shopping centers, free-standing single-tenant buildings, medical and other office buildings, warehouse facilities, hotels, and real estate secured lines of credit. The Company’s commercial real estate underwriting standards most often provide for loan terms of five to seven years, with amortization schedules of no more than thirty years.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distribution of commercial real estate loans by property type, along with weighted average DSCRs and LTVs at the dates indicated (dollars in thousands):</w:t>
      </w:r>
    </w:p>
    <w:tbl>
      <w:tblPr>
        <w:tblW w:w="10205" w:type="dxa"/>
        <w:jc w:val="left"/>
        <w:tblInd w:w="0" w:type="dxa"/>
        <w:tblLayout w:type="fixed"/>
        <w:tblCellMar>
          <w:top w:w="28" w:type="dxa"/>
          <w:left w:w="28" w:type="dxa"/>
          <w:bottom w:w="28" w:type="dxa"/>
          <w:right w:w="28" w:type="dxa"/>
        </w:tblCellMar>
      </w:tblPr>
      <w:tblGrid>
        <w:gridCol w:w="549"/>
        <w:gridCol w:w="411"/>
        <w:gridCol w:w="415"/>
        <w:gridCol w:w="211"/>
        <w:gridCol w:w="976"/>
        <w:gridCol w:w="109"/>
        <w:gridCol w:w="109"/>
        <w:gridCol w:w="109"/>
        <w:gridCol w:w="109"/>
        <w:gridCol w:w="331"/>
        <w:gridCol w:w="200"/>
        <w:gridCol w:w="499"/>
        <w:gridCol w:w="109"/>
        <w:gridCol w:w="109"/>
        <w:gridCol w:w="109"/>
        <w:gridCol w:w="180"/>
        <w:gridCol w:w="181"/>
        <w:gridCol w:w="271"/>
        <w:gridCol w:w="109"/>
        <w:gridCol w:w="109"/>
        <w:gridCol w:w="109"/>
        <w:gridCol w:w="226"/>
        <w:gridCol w:w="210"/>
        <w:gridCol w:w="527"/>
        <w:gridCol w:w="109"/>
        <w:gridCol w:w="109"/>
        <w:gridCol w:w="109"/>
        <w:gridCol w:w="180"/>
        <w:gridCol w:w="181"/>
        <w:gridCol w:w="301"/>
        <w:gridCol w:w="109"/>
        <w:gridCol w:w="109"/>
        <w:gridCol w:w="109"/>
        <w:gridCol w:w="355"/>
        <w:gridCol w:w="355"/>
        <w:gridCol w:w="356"/>
        <w:gridCol w:w="109"/>
        <w:gridCol w:w="109"/>
        <w:gridCol w:w="109"/>
        <w:gridCol w:w="349"/>
        <w:gridCol w:w="220"/>
        <w:gridCol w:w="650"/>
      </w:tblGrid>
      <w:tr>
        <w:trPr/>
        <w:tc>
          <w:tcPr>
            <w:tcW w:w="54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 of Total 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New York Tri-State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DSCR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LTV</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Warehouse/Industrial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548"/>
        <w:gridCol w:w="410"/>
        <w:gridCol w:w="415"/>
        <w:gridCol w:w="211"/>
        <w:gridCol w:w="976"/>
        <w:gridCol w:w="109"/>
        <w:gridCol w:w="109"/>
        <w:gridCol w:w="109"/>
        <w:gridCol w:w="109"/>
        <w:gridCol w:w="333"/>
        <w:gridCol w:w="201"/>
        <w:gridCol w:w="504"/>
        <w:gridCol w:w="109"/>
        <w:gridCol w:w="109"/>
        <w:gridCol w:w="109"/>
        <w:gridCol w:w="180"/>
        <w:gridCol w:w="181"/>
        <w:gridCol w:w="271"/>
        <w:gridCol w:w="109"/>
        <w:gridCol w:w="109"/>
        <w:gridCol w:w="109"/>
        <w:gridCol w:w="226"/>
        <w:gridCol w:w="210"/>
        <w:gridCol w:w="526"/>
        <w:gridCol w:w="109"/>
        <w:gridCol w:w="109"/>
        <w:gridCol w:w="109"/>
        <w:gridCol w:w="180"/>
        <w:gridCol w:w="181"/>
        <w:gridCol w:w="301"/>
        <w:gridCol w:w="109"/>
        <w:gridCol w:w="109"/>
        <w:gridCol w:w="109"/>
        <w:gridCol w:w="354"/>
        <w:gridCol w:w="354"/>
        <w:gridCol w:w="355"/>
        <w:gridCol w:w="109"/>
        <w:gridCol w:w="109"/>
        <w:gridCol w:w="109"/>
        <w:gridCol w:w="349"/>
        <w:gridCol w:w="219"/>
        <w:gridCol w:w="649"/>
      </w:tblGrid>
      <w:tr>
        <w:trPr/>
        <w:tc>
          <w:tcPr>
            <w:tcW w:w="54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2"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Percent of Total CRE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New York Tri-State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DSCR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LTV</w:t>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Warehouse/Industrial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Geographic distribution in the table above is based on location of the underlying collateral property. LTVs and DSCRs are based on the most recent available information; if current appraisals are not available, LTVs are adjusted by our models based on current and forecasted sub-market dynamics. DSCRs are calculated based on current contractually required payments, which in some cases may be interest only and on current levels of operating cash flows. DSCR calculations do not include secondary forms of repayment or pro-forma rental payments on in-place leases that are currently in initial rent abatement periods.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Included in New York tri-state multifamily loans in the tables above is approximately $103 million of rent regulated exposure as of March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48285"/>
                <wp:effectExtent l="0" t="0" r="0" b="0"/>
                <wp:wrapNone/>
                <wp:docPr id="46" name="Frame4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CRE loans maturing in the next 12 months by property type at March 31, 2026 (dollars in thousands). 17% of the total CRE portfolio, with a weighted average coupon rate of 4.03%, is fixed rate to the borrower and maturing in the next 12 months.</w:t>
      </w:r>
    </w:p>
    <w:tbl>
      <w:tblPr>
        <w:tblW w:w="10205" w:type="dxa"/>
        <w:jc w:val="left"/>
        <w:tblInd w:w="0" w:type="dxa"/>
        <w:tblLayout w:type="fixed"/>
        <w:tblCellMar>
          <w:top w:w="28" w:type="dxa"/>
          <w:left w:w="28" w:type="dxa"/>
          <w:bottom w:w="28" w:type="dxa"/>
          <w:right w:w="28" w:type="dxa"/>
        </w:tblCellMar>
      </w:tblPr>
      <w:tblGrid>
        <w:gridCol w:w="559"/>
        <w:gridCol w:w="424"/>
        <w:gridCol w:w="429"/>
        <w:gridCol w:w="263"/>
        <w:gridCol w:w="1219"/>
        <w:gridCol w:w="136"/>
        <w:gridCol w:w="109"/>
        <w:gridCol w:w="109"/>
        <w:gridCol w:w="109"/>
        <w:gridCol w:w="327"/>
        <w:gridCol w:w="327"/>
        <w:gridCol w:w="815"/>
        <w:gridCol w:w="109"/>
        <w:gridCol w:w="109"/>
        <w:gridCol w:w="109"/>
        <w:gridCol w:w="322"/>
        <w:gridCol w:w="1492"/>
        <w:gridCol w:w="166"/>
        <w:gridCol w:w="109"/>
        <w:gridCol w:w="109"/>
        <w:gridCol w:w="109"/>
        <w:gridCol w:w="109"/>
        <w:gridCol w:w="109"/>
        <w:gridCol w:w="526"/>
        <w:gridCol w:w="493"/>
        <w:gridCol w:w="1237"/>
        <w:gridCol w:w="109"/>
        <w:gridCol w:w="162"/>
      </w:tblGrid>
      <w:tr>
        <w:trPr/>
        <w:tc>
          <w:tcPr>
            <w:tcW w:w="55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Maturing in the Next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Maturing in the Next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Fixed Rate or Swapped Maturing Next 12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Fixed Rate to Borrower Maturing in Next 12 Months as a % of Total Portfolio</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544,880 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315,301 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Warehouse/Industrial</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256,559 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179,999 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346,560 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2,177,296 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1,136,282 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scheduled contractual maturities of the CRE portfolio by property type at March 31, 2026 (in thousands):</w:t>
      </w:r>
    </w:p>
    <w:tbl>
      <w:tblPr>
        <w:tblW w:w="11815" w:type="dxa"/>
        <w:jc w:val="left"/>
        <w:tblInd w:w="0" w:type="dxa"/>
        <w:tblLayout w:type="fixed"/>
        <w:tblCellMar>
          <w:top w:w="28" w:type="dxa"/>
          <w:left w:w="28" w:type="dxa"/>
          <w:bottom w:w="28" w:type="dxa"/>
          <w:right w:w="28" w:type="dxa"/>
        </w:tblCellMar>
      </w:tblPr>
      <w:tblGrid>
        <w:gridCol w:w="496"/>
        <w:gridCol w:w="343"/>
        <w:gridCol w:w="347"/>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49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1,398,071 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Warehouse/Industrial</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1,584,187 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1,520,622 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740,104 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1,827,591 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1,237,042 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1,401,770 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912,312 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936,624 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571,072 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6,886,411 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office segment totaled $1.4 billion at March 31, 2026. Medical office comprised approximately $334 million or 24% of the total office portfolio.</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Non-performing CRE loans, excluding SBA loans, totaled $67 million at March 31, 2026 and included $48 million of office exposure. Also see the section entitled "Asset Quality" below.</w:t>
      </w:r>
    </w:p>
    <w:p>
      <w:pPr>
        <w:pStyle w:val="TextBody"/>
        <w:bidi w:val="0"/>
        <w:spacing w:lineRule="auto" w:line="288" w:before="16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Commercial and Industrial</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Commercial and industrial loans are typically made to small, middle market and larger corporate businesses and not-for-profit entities and include equipment loans, secured and unsecured working capital facilities, formula-based loans, subscription finance lines of credit, trade finance, SBA product offerings, business acquisition finance credit facilities, credit facilities to institutional real estate entities such as REITs and commercial real estate investment funds, and a small amount of commercial credit cards. These loans may be structured as term loans, typically with maturities of five to seven years, or revolving lines of credit which may have multi-year maturities. In addition to financing provided by Pinnacle, the Bank provides financing to state and local governmental entities generally within our primary geographic markets. The Bank makes loans secured by owner-occupied commercial real estate that typically have risk profiles more closely aligned with that of commercial and industrial loans than with other types of commercial real estate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48285"/>
                <wp:effectExtent l="0" t="0" r="0" b="0"/>
                <wp:wrapNone/>
                <wp:docPr id="47" name="Frame4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exposure in the C&amp;I portfolio by industry, at March 31, 2026 (dollars in thousands):</w:t>
      </w:r>
    </w:p>
    <w:tbl>
      <w:tblPr>
        <w:tblW w:w="7884" w:type="dxa"/>
        <w:jc w:val="left"/>
        <w:tblInd w:w="0" w:type="dxa"/>
        <w:tblLayout w:type="fixed"/>
        <w:tblCellMar>
          <w:top w:w="28" w:type="dxa"/>
          <w:left w:w="28" w:type="dxa"/>
          <w:bottom w:w="28" w:type="dxa"/>
          <w:right w:w="28" w:type="dxa"/>
        </w:tblCellMar>
      </w:tblPr>
      <w:tblGrid>
        <w:gridCol w:w="1581"/>
        <w:gridCol w:w="1390"/>
        <w:gridCol w:w="1393"/>
        <w:gridCol w:w="222"/>
        <w:gridCol w:w="1028"/>
        <w:gridCol w:w="114"/>
        <w:gridCol w:w="109"/>
        <w:gridCol w:w="109"/>
        <w:gridCol w:w="109"/>
        <w:gridCol w:w="345"/>
        <w:gridCol w:w="287"/>
        <w:gridCol w:w="716"/>
        <w:gridCol w:w="109"/>
        <w:gridCol w:w="109"/>
        <w:gridCol w:w="109"/>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Amortized Cost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1,430,732 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Care</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Trade</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Educational Services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 / Warehousing</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 and Rental &amp; Leasing</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454,451 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Scientific, and Technical Services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Retail Trade</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Administration</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Arts, Entertainment, and Recreation</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Support and Waste Management</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Accommodation and Food Services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8,885,932 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Includes $2.0 billion of owner occupied real estate.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chart presents the geographic distribution of the commercial and industrial portfolio at March 31, 2026: </w:t>
      </w:r>
    </w:p>
    <w:tbl>
      <w:tblPr>
        <w:tblW w:w="2654" w:type="dxa"/>
        <w:jc w:val="left"/>
        <w:tblInd w:w="0" w:type="dxa"/>
        <w:tblLayout w:type="fixed"/>
        <w:tblCellMar>
          <w:top w:w="28" w:type="dxa"/>
          <w:left w:w="28" w:type="dxa"/>
          <w:bottom w:w="28" w:type="dxa"/>
          <w:right w:w="28" w:type="dxa"/>
        </w:tblCellMar>
      </w:tblPr>
      <w:tblGrid>
        <w:gridCol w:w="850"/>
        <w:gridCol w:w="747"/>
        <w:gridCol w:w="1057"/>
      </w:tblGrid>
      <w:tr>
        <w:trPr/>
        <w:tc>
          <w:tcPr>
            <w:tcW w:w="85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C&amp;I Geographic Distribution</w:t>
            </w:r>
          </w:p>
        </w:tc>
      </w:tr>
    </w:tbl>
    <w:p>
      <w:pPr>
        <w:pStyle w:val="TextBody"/>
        <w:bidi w:val="0"/>
        <w:spacing w:before="160" w:after="160"/>
        <w:ind w:left="0" w:right="0" w:firstLine="360"/>
        <w:jc w:val="left"/>
        <w:rPr/>
      </w:pPr>
      <w:r>
        <w:rPr/>
        <w:drawing>
          <wp:inline distT="0" distB="0" distL="0" distR="0">
            <wp:extent cx="4381500" cy="2009775"/>
            <wp:effectExtent l="0" t="0" r="0" b="0"/>
            <wp:docPr id="4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 descr=""/>
                    <pic:cNvPicPr>
                      <a:picLocks noChangeAspect="1" noChangeArrowheads="1"/>
                    </pic:cNvPicPr>
                  </pic:nvPicPr>
                  <pic:blipFill>
                    <a:blip r:embed="rId4"/>
                    <a:stretch>
                      <a:fillRect/>
                    </a:stretch>
                  </pic:blipFill>
                  <pic:spPr bwMode="auto">
                    <a:xfrm>
                      <a:off x="0" y="0"/>
                      <a:ext cx="4381500" cy="2009775"/>
                    </a:xfrm>
                    <a:prstGeom prst="rect">
                      <a:avLst/>
                    </a:prstGeom>
                  </pic:spPr>
                </pic:pic>
              </a:graphicData>
            </a:graphic>
          </wp:inline>
        </w:drawing>
      </w:r>
      <w:bookmarkStart w:id="2" w:name="i-3"/>
      <w:bookmarkEnd w:id="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48285"/>
                <wp:effectExtent l="0" t="0" r="0" b="0"/>
                <wp:wrapNone/>
                <wp:docPr id="49" name="Frame4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chart presents a further breakdown of the NDFI portfolio at March 31, 2026: </w:t>
      </w:r>
    </w:p>
    <w:tbl>
      <w:tblPr>
        <w:tblW w:w="2504" w:type="dxa"/>
        <w:jc w:val="left"/>
        <w:tblInd w:w="0" w:type="dxa"/>
        <w:tblLayout w:type="fixed"/>
        <w:tblCellMar>
          <w:top w:w="28" w:type="dxa"/>
          <w:left w:w="28" w:type="dxa"/>
          <w:bottom w:w="28" w:type="dxa"/>
          <w:right w:w="28" w:type="dxa"/>
        </w:tblCellMar>
      </w:tblPr>
      <w:tblGrid>
        <w:gridCol w:w="802"/>
        <w:gridCol w:w="705"/>
        <w:gridCol w:w="997"/>
      </w:tblGrid>
      <w:tr>
        <w:trPr/>
        <w:tc>
          <w:tcPr>
            <w:tcW w:w="8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NDFI Portfolio Distribution</w:t>
            </w:r>
          </w:p>
        </w:tc>
      </w:tr>
    </w:tbl>
    <w:p>
      <w:pPr>
        <w:pStyle w:val="TextBody"/>
        <w:bidi w:val="0"/>
        <w:spacing w:before="160" w:after="160"/>
        <w:ind w:left="0" w:right="0" w:firstLine="360"/>
        <w:jc w:val="left"/>
        <w:rPr/>
      </w:pPr>
      <w:r>
        <w:rPr/>
        <w:drawing>
          <wp:inline distT="0" distB="0" distL="0" distR="0">
            <wp:extent cx="4381500" cy="2009775"/>
            <wp:effectExtent l="0" t="0" r="0" b="0"/>
            <wp:docPr id="5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 descr=""/>
                    <pic:cNvPicPr>
                      <a:picLocks noChangeAspect="1" noChangeArrowheads="1"/>
                    </pic:cNvPicPr>
                  </pic:nvPicPr>
                  <pic:blipFill>
                    <a:blip r:embed="rId5"/>
                    <a:stretch>
                      <a:fillRect/>
                    </a:stretch>
                  </pic:blipFill>
                  <pic:spPr bwMode="auto">
                    <a:xfrm>
                      <a:off x="0" y="0"/>
                      <a:ext cx="4381500" cy="2009775"/>
                    </a:xfrm>
                    <a:prstGeom prst="rect">
                      <a:avLst/>
                    </a:prstGeom>
                  </pic:spPr>
                </pic:pic>
              </a:graphicData>
            </a:graphic>
          </wp:inline>
        </w:drawing>
      </w:r>
      <w:bookmarkStart w:id="3" w:name="i-4"/>
      <w:bookmarkEnd w:id="3"/>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NDFI exposure totaled $1.4 billion, or 6% of total loans, at March 31, 2026. The "Other" category in the chart above includes primarily REITs, B2C, private equity funds, insurance and investment services. The substantial majority of the NDFI portfolio is pass rated, with three loans totaling $27 million rated non-pass.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Pinnacle portfolio consists of essential-use equipment financing to state and local governmental entities on a national basis directly and through vendor programs and alliances, with financing structures including equipment lease purchase agreements, direct (private placement) bond re-fundings and loan agreements.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franchise and equipment finance portfolio is comprised of loans originated by Bridge including (i) franchise acquisition, expansion and equipment financing facilities and (ii) transportation equipment finance. We expect balances in these segments will continue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Residential mortgages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composition of residential loans at the dates indicated (in thousands):</w:t>
      </w:r>
    </w:p>
    <w:tbl>
      <w:tblPr>
        <w:tblW w:w="5838" w:type="dxa"/>
        <w:jc w:val="center"/>
        <w:tblInd w:w="0" w:type="dxa"/>
        <w:tblLayout w:type="fixed"/>
        <w:tblCellMar>
          <w:top w:w="28" w:type="dxa"/>
          <w:left w:w="28" w:type="dxa"/>
          <w:bottom w:w="28" w:type="dxa"/>
          <w:right w:w="28" w:type="dxa"/>
        </w:tblCellMar>
      </w:tblPr>
      <w:tblGrid>
        <w:gridCol w:w="966"/>
        <w:gridCol w:w="851"/>
        <w:gridCol w:w="853"/>
        <w:gridCol w:w="211"/>
        <w:gridCol w:w="976"/>
        <w:gridCol w:w="109"/>
        <w:gridCol w:w="109"/>
        <w:gridCol w:w="109"/>
        <w:gridCol w:w="109"/>
        <w:gridCol w:w="243"/>
        <w:gridCol w:w="1125"/>
        <w:gridCol w:w="177"/>
      </w:tblGrid>
      <w:tr>
        <w:trPr/>
        <w:tc>
          <w:tcPr>
            <w:tcW w:w="96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1-4 single family residential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6,091,959 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insured residential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6,983,000 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1-4 single family residential loan portfolio, excluding government insured residential loans, is primarily comprised of prime jumbo loans purchased through established correspondent channels. 1-4 single family residential mortgage loans are primarily closed-end, first lien jumbo mortgages for the purchase or re-finance of owner occupied property. The loans have terms ranging from 10 to 30 years, with either fixed or adjustable interest rates. At March 31, 2026, the majority of the 1-4 single family residential loan portfolio, excluding government insured residential loans, was owner-occupied, with 81% primary residence, 5% second homes and 14% investor-owned properties.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acquires non-performing FHA and VA insured mortgages from third parties who have exercised their right to purchase these loans out of GNMA securitizations upon default ("Buyout Loans"). Buyout Loans that re-perform, either through modification or self-cure, may be eligible for re-securitization. The balance of Buyout Loans totaled $851 million at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48285"/>
                <wp:effectExtent l="0" t="0" r="0" b="0"/>
                <wp:wrapNone/>
                <wp:docPr id="51" name="Frame4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charts present the distribution of the 1-4 single family residential mortgage portfolio by product type at the dates indicated:</w:t>
      </w:r>
    </w:p>
    <w:tbl>
      <w:tblPr>
        <w:tblW w:w="3550" w:type="dxa"/>
        <w:jc w:val="left"/>
        <w:tblInd w:w="0" w:type="dxa"/>
        <w:tblLayout w:type="fixed"/>
        <w:tblCellMar>
          <w:top w:w="28" w:type="dxa"/>
          <w:left w:w="28" w:type="dxa"/>
          <w:bottom w:w="28" w:type="dxa"/>
          <w:right w:w="28" w:type="dxa"/>
        </w:tblCellMar>
      </w:tblPr>
      <w:tblGrid>
        <w:gridCol w:w="526"/>
        <w:gridCol w:w="463"/>
        <w:gridCol w:w="465"/>
        <w:gridCol w:w="109"/>
        <w:gridCol w:w="109"/>
        <w:gridCol w:w="109"/>
        <w:gridCol w:w="517"/>
        <w:gridCol w:w="517"/>
        <w:gridCol w:w="735"/>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December 31, 2025</w:t>
            </w:r>
          </w:p>
        </w:tc>
      </w:tr>
    </w:tbl>
    <w:p>
      <w:pPr>
        <w:pStyle w:val="TextBody"/>
        <w:bidi w:val="0"/>
        <w:spacing w:lineRule="auto" w:line="288" w:before="160" w:after="160"/>
        <w:ind w:left="0" w:right="0" w:firstLine="360"/>
        <w:jc w:val="left"/>
        <w:rPr/>
      </w:pPr>
      <w:r>
        <w:rPr/>
        <w:drawing>
          <wp:inline distT="0" distB="0" distL="0" distR="0">
            <wp:extent cx="2857500" cy="1914525"/>
            <wp:effectExtent l="0" t="0" r="0" b="0"/>
            <wp:docPr id="5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 descr=""/>
                    <pic:cNvPicPr>
                      <a:picLocks noChangeAspect="1" noChangeArrowheads="1"/>
                    </pic:cNvPicPr>
                  </pic:nvPicPr>
                  <pic:blipFill>
                    <a:blip r:embed="rId6"/>
                    <a:stretch>
                      <a:fillRect/>
                    </a:stretch>
                  </pic:blipFill>
                  <pic:spPr bwMode="auto">
                    <a:xfrm>
                      <a:off x="0" y="0"/>
                      <a:ext cx="2857500" cy="1914525"/>
                    </a:xfrm>
                    <a:prstGeom prst="rect">
                      <a:avLst/>
                    </a:prstGeom>
                  </pic:spPr>
                </pic:pic>
              </a:graphicData>
            </a:graphic>
          </wp:inline>
        </w:drawing>
      </w:r>
      <w:bookmarkStart w:id="4" w:name="i-5"/>
      <w:bookmarkEnd w:id="4"/>
      <w:r>
        <w:rPr>
          <w:color w:val="000000"/>
        </w:rPr>
        <w:t xml:space="preserve"> </w:t>
      </w:r>
      <w:r>
        <w:rPr/>
        <w:drawing>
          <wp:inline distT="0" distB="0" distL="0" distR="0">
            <wp:extent cx="3562350" cy="1914525"/>
            <wp:effectExtent l="0" t="0" r="0" b="0"/>
            <wp:docPr id="5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6" descr=""/>
                    <pic:cNvPicPr>
                      <a:picLocks noChangeAspect="1" noChangeArrowheads="1"/>
                    </pic:cNvPicPr>
                  </pic:nvPicPr>
                  <pic:blipFill>
                    <a:blip r:embed="rId7"/>
                    <a:stretch>
                      <a:fillRect/>
                    </a:stretch>
                  </pic:blipFill>
                  <pic:spPr bwMode="auto">
                    <a:xfrm>
                      <a:off x="0" y="0"/>
                      <a:ext cx="3562350" cy="1914525"/>
                    </a:xfrm>
                    <a:prstGeom prst="rect">
                      <a:avLst/>
                    </a:prstGeom>
                  </pic:spPr>
                </pic:pic>
              </a:graphicData>
            </a:graphic>
          </wp:inline>
        </w:drawing>
      </w:r>
      <w:bookmarkStart w:id="5" w:name="i-6"/>
      <w:bookmarkEnd w:id="5"/>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five states with the largest geographic concentrations of 1-4 single family residential loans, excluding government insured residential loans, at the dates indicated (dollars in thousands):</w:t>
      </w:r>
    </w:p>
    <w:tbl>
      <w:tblPr>
        <w:tblW w:w="7274" w:type="dxa"/>
        <w:jc w:val="left"/>
        <w:tblInd w:w="0" w:type="dxa"/>
        <w:tblLayout w:type="fixed"/>
        <w:tblCellMar>
          <w:top w:w="28" w:type="dxa"/>
          <w:left w:w="28" w:type="dxa"/>
          <w:bottom w:w="28" w:type="dxa"/>
          <w:right w:w="28" w:type="dxa"/>
        </w:tblCellMar>
      </w:tblPr>
      <w:tblGrid>
        <w:gridCol w:w="342"/>
        <w:gridCol w:w="301"/>
        <w:gridCol w:w="303"/>
        <w:gridCol w:w="211"/>
        <w:gridCol w:w="976"/>
        <w:gridCol w:w="109"/>
        <w:gridCol w:w="109"/>
        <w:gridCol w:w="109"/>
        <w:gridCol w:w="109"/>
        <w:gridCol w:w="345"/>
        <w:gridCol w:w="287"/>
        <w:gridCol w:w="716"/>
        <w:gridCol w:w="109"/>
        <w:gridCol w:w="109"/>
        <w:gridCol w:w="109"/>
        <w:gridCol w:w="211"/>
        <w:gridCol w:w="976"/>
        <w:gridCol w:w="109"/>
        <w:gridCol w:w="109"/>
        <w:gridCol w:w="109"/>
        <w:gridCol w:w="109"/>
        <w:gridCol w:w="327"/>
        <w:gridCol w:w="289"/>
        <w:gridCol w:w="791"/>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357" w:type="dxa"/>
            <w:gridSpan w:val="12"/>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Total</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lease equipment, net</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lease equipment, net totaled $150 million and $171 million at March 31, 2026 and December 31, 2025, respectively, consisting primarily of railcars and other transportation equipment. We expect the balance of operating lease equipment to continue to decline as this product offering is no longer considered core to our business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Asset Quality</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Commercial Loans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 robust credit risk management framework, an experienced team to lead the workout and recovery process for the commercial and commercial real estate portfolios and a dedicated internal credit review function. Loan performance is monitored by our credit administration, portfolio management and workout and recovery departments. Risk ratings are updated continuously; generally, commercial relationships with balances greater than $3 million, are re-evaluated at least annually and more frequently if circumstances indicate that a change in risk rating may be warranted. Homogenous groups of smaller balance commercial loans may be monitored collectively. The credit quality and risk rating of commercial loans as well as our underwriting and portfolio management practices are regularly reviewed by our internal independent credit review department.</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internal risk rating is the best indicator of the credit quality of commercial loans. The Company utilizes a 16-grade internal asset risk classification system as part of its efforts to monitor and maintain commercial asset quality. The special mention rating is considered a transitional rating for loans exhibiting potential credit weaknesses that could result in deterioration of repayment prospects at some future date if not checked or corrected and that deserve management’s close attention. These borrowers may exhibit declining cash flows or revenues or increasing leverage. Loans with well-defined credit weaknesses that may result in a loss if the deficiencies are not corrected are assigned a risk rating of substandard. These borrowers may exhibit payment defaults, inadequate cash flows from current operations, operating losses, increasing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48285"/>
                <wp:effectExtent l="0" t="0" r="0" b="0"/>
                <wp:wrapNone/>
                <wp:docPr id="54" name="Frame4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sheet leverage, project cost overruns, unreasonable construction delays, exhausted interest reserves, declining collateral values, frequent overdrafts or past due real estate taxes. Loans with weaknesses so severe that collection in full is highly questionable or improbable, but because of certain reasonably specific pending factors have not been charged off, are assigned an internal risk rating of doubtful.</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commercial credit exposure, based on internal risk rating, at the dates indicated (dollars in thousands):</w:t>
      </w:r>
    </w:p>
    <w:tbl>
      <w:tblPr>
        <w:tblW w:w="11608" w:type="dxa"/>
        <w:jc w:val="left"/>
        <w:tblInd w:w="0" w:type="dxa"/>
        <w:tblLayout w:type="fixed"/>
        <w:tblCellMar>
          <w:top w:w="28" w:type="dxa"/>
          <w:left w:w="28" w:type="dxa"/>
          <w:bottom w:w="28" w:type="dxa"/>
          <w:right w:w="28" w:type="dxa"/>
        </w:tblCellMar>
      </w:tblPr>
      <w:tblGrid>
        <w:gridCol w:w="493"/>
        <w:gridCol w:w="335"/>
        <w:gridCol w:w="223"/>
        <w:gridCol w:w="196"/>
        <w:gridCol w:w="871"/>
        <w:gridCol w:w="109"/>
        <w:gridCol w:w="109"/>
        <w:gridCol w:w="109"/>
        <w:gridCol w:w="109"/>
        <w:gridCol w:w="109"/>
        <w:gridCol w:w="109"/>
        <w:gridCol w:w="196"/>
        <w:gridCol w:w="961"/>
        <w:gridCol w:w="109"/>
        <w:gridCol w:w="109"/>
        <w:gridCol w:w="109"/>
        <w:gridCol w:w="109"/>
        <w:gridCol w:w="329"/>
        <w:gridCol w:w="227"/>
        <w:gridCol w:w="537"/>
        <w:gridCol w:w="109"/>
        <w:gridCol w:w="109"/>
        <w:gridCol w:w="109"/>
        <w:gridCol w:w="165"/>
        <w:gridCol w:w="165"/>
        <w:gridCol w:w="165"/>
        <w:gridCol w:w="165"/>
        <w:gridCol w:w="166"/>
        <w:gridCol w:w="109"/>
        <w:gridCol w:w="196"/>
        <w:gridCol w:w="871"/>
        <w:gridCol w:w="109"/>
        <w:gridCol w:w="109"/>
        <w:gridCol w:w="109"/>
        <w:gridCol w:w="109"/>
        <w:gridCol w:w="109"/>
        <w:gridCol w:w="109"/>
        <w:gridCol w:w="196"/>
        <w:gridCol w:w="961"/>
        <w:gridCol w:w="109"/>
        <w:gridCol w:w="109"/>
        <w:gridCol w:w="109"/>
        <w:gridCol w:w="109"/>
        <w:gridCol w:w="329"/>
        <w:gridCol w:w="227"/>
        <w:gridCol w:w="537"/>
        <w:gridCol w:w="109"/>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712" w:type="dxa"/>
            <w:gridSpan w:val="18"/>
            <w:tcBorders/>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901" w:type="dxa"/>
            <w:gridSpan w:val="10"/>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Commercial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Commercial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6,325,495 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16,226,229 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6,145,173 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16,092,180 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mention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Substandard accruing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Substandard non-accruing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Doubtful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6,886,411 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17,278,575 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6,810,871 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17,290,707 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Total criticized and classified loans declined by $146 million for the three months ended March 31, 2026, while total criticized and classified CRE loans declined by $105 million for the same period. Non-accrual loans declined by $98 million, or 26%, for the three months ended March 31, 2026.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additional information about special mention and substandard accruing loans at the dates indicated (dollars in thousands). All of these loans are performing. Non-accrual loans are discussed further in the section entitled "Non-performing Assets" below.</w:t>
      </w:r>
    </w:p>
    <w:tbl>
      <w:tblPr>
        <w:tblW w:w="10205" w:type="dxa"/>
        <w:jc w:val="left"/>
        <w:tblInd w:w="0" w:type="dxa"/>
        <w:tblLayout w:type="fixed"/>
        <w:tblCellMar>
          <w:top w:w="28" w:type="dxa"/>
          <w:left w:w="28" w:type="dxa"/>
          <w:bottom w:w="28" w:type="dxa"/>
          <w:right w:w="28" w:type="dxa"/>
        </w:tblCellMar>
      </w:tblPr>
      <w:tblGrid>
        <w:gridCol w:w="1161"/>
        <w:gridCol w:w="1015"/>
        <w:gridCol w:w="1016"/>
        <w:gridCol w:w="228"/>
        <w:gridCol w:w="894"/>
        <w:gridCol w:w="117"/>
        <w:gridCol w:w="109"/>
        <w:gridCol w:w="109"/>
        <w:gridCol w:w="109"/>
        <w:gridCol w:w="343"/>
        <w:gridCol w:w="335"/>
        <w:gridCol w:w="839"/>
        <w:gridCol w:w="109"/>
        <w:gridCol w:w="109"/>
        <w:gridCol w:w="109"/>
        <w:gridCol w:w="109"/>
        <w:gridCol w:w="109"/>
        <w:gridCol w:w="118"/>
        <w:gridCol w:w="118"/>
        <w:gridCol w:w="231"/>
        <w:gridCol w:w="904"/>
        <w:gridCol w:w="118"/>
        <w:gridCol w:w="109"/>
        <w:gridCol w:w="109"/>
        <w:gridCol w:w="109"/>
        <w:gridCol w:w="324"/>
        <w:gridCol w:w="318"/>
        <w:gridCol w:w="927"/>
      </w:tblGrid>
      <w:tr>
        <w:trPr/>
        <w:tc>
          <w:tcPr>
            <w:tcW w:w="116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896" w:type="dxa"/>
            <w:gridSpan w:val="6"/>
            <w:tcBorders/>
          </w:tcPr>
          <w:p>
            <w:pPr>
              <w:pStyle w:val="TableContents"/>
              <w:bidi w:val="0"/>
              <w:spacing w:before="0" w:after="283"/>
              <w:jc w:val="left"/>
              <w:rPr>
                <w:sz w:val="4"/>
                <w:szCs w:val="4"/>
              </w:rPr>
            </w:pPr>
            <w:r>
              <w:rPr>
                <w:sz w:val="4"/>
                <w:szCs w:val="4"/>
              </w:rPr>
            </w:r>
          </w:p>
        </w:tc>
      </w:tr>
      <w:tr>
        <w:trPr/>
        <w:tc>
          <w:tcPr>
            <w:tcW w:w="3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Loan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Loan Segment</w:t>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mention:</w:t>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Office</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and land</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 commercial real estate</w:t>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177,859 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Substandard accruing:</w:t>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CRE </w:t>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and land</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418,033 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 commercial real estate</w:t>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Franchise and equipment finance</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622,436 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674,368 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48285"/>
                <wp:effectExtent l="0" t="0" r="0" b="0"/>
                <wp:wrapNone/>
                <wp:docPr id="55" name="Frame4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charts present criticized and classified CRE loans by property type at the dates indicated (in millions):</w:t>
      </w:r>
    </w:p>
    <w:tbl>
      <w:tblPr>
        <w:tblW w:w="3550" w:type="dxa"/>
        <w:jc w:val="left"/>
        <w:tblInd w:w="0" w:type="dxa"/>
        <w:tblLayout w:type="fixed"/>
        <w:tblCellMar>
          <w:top w:w="28" w:type="dxa"/>
          <w:left w:w="28" w:type="dxa"/>
          <w:bottom w:w="28" w:type="dxa"/>
          <w:right w:w="28" w:type="dxa"/>
        </w:tblCellMar>
      </w:tblPr>
      <w:tblGrid>
        <w:gridCol w:w="526"/>
        <w:gridCol w:w="463"/>
        <w:gridCol w:w="465"/>
        <w:gridCol w:w="109"/>
        <w:gridCol w:w="109"/>
        <w:gridCol w:w="109"/>
        <w:gridCol w:w="517"/>
        <w:gridCol w:w="517"/>
        <w:gridCol w:w="735"/>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December 31, 2025</w:t>
            </w:r>
          </w:p>
        </w:tc>
      </w:tr>
    </w:tbl>
    <w:p>
      <w:pPr>
        <w:pStyle w:val="TextBody"/>
        <w:bidi w:val="0"/>
        <w:spacing w:before="160" w:after="160"/>
        <w:ind w:left="0" w:right="0" w:firstLine="360"/>
        <w:jc w:val="left"/>
        <w:rPr/>
      </w:pPr>
      <w:r>
        <w:rPr/>
        <w:drawing>
          <wp:inline distT="0" distB="0" distL="0" distR="0">
            <wp:extent cx="2924175" cy="2466975"/>
            <wp:effectExtent l="0" t="0" r="0" b="0"/>
            <wp:docPr id="5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7" descr=""/>
                    <pic:cNvPicPr>
                      <a:picLocks noChangeAspect="1" noChangeArrowheads="1"/>
                    </pic:cNvPicPr>
                  </pic:nvPicPr>
                  <pic:blipFill>
                    <a:blip r:embed="rId8"/>
                    <a:stretch>
                      <a:fillRect/>
                    </a:stretch>
                  </pic:blipFill>
                  <pic:spPr bwMode="auto">
                    <a:xfrm>
                      <a:off x="0" y="0"/>
                      <a:ext cx="2924175" cy="2466975"/>
                    </a:xfrm>
                    <a:prstGeom prst="rect">
                      <a:avLst/>
                    </a:prstGeom>
                  </pic:spPr>
                </pic:pic>
              </a:graphicData>
            </a:graphic>
          </wp:inline>
        </w:drawing>
      </w:r>
      <w:bookmarkStart w:id="6" w:name="i-7"/>
      <w:bookmarkEnd w:id="6"/>
      <w:r>
        <w:rPr/>
        <w:drawing>
          <wp:inline distT="0" distB="0" distL="0" distR="0">
            <wp:extent cx="3562350" cy="2466975"/>
            <wp:effectExtent l="0" t="0" r="0" b="0"/>
            <wp:docPr id="5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8" descr=""/>
                    <pic:cNvPicPr>
                      <a:picLocks noChangeAspect="1" noChangeArrowheads="1"/>
                    </pic:cNvPicPr>
                  </pic:nvPicPr>
                  <pic:blipFill>
                    <a:blip r:embed="rId9"/>
                    <a:stretch>
                      <a:fillRect/>
                    </a:stretch>
                  </pic:blipFill>
                  <pic:spPr bwMode="auto">
                    <a:xfrm>
                      <a:off x="0" y="0"/>
                      <a:ext cx="3562350" cy="2466975"/>
                    </a:xfrm>
                    <a:prstGeom prst="rect">
                      <a:avLst/>
                    </a:prstGeom>
                  </pic:spPr>
                </pic:pic>
              </a:graphicData>
            </a:graphic>
          </wp:inline>
        </w:drawing>
      </w:r>
      <w:bookmarkStart w:id="7" w:name="i-8"/>
      <w:bookmarkEnd w:id="7"/>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(1)Includes $29 million and $58 million of office exposure at March 31, 2026 and December 31, 2025, respectively. </w:t>
      </w:r>
    </w:p>
    <w:p>
      <w:pPr>
        <w:pStyle w:val="TextBody"/>
        <w:bidi w:val="0"/>
        <w:spacing w:before="160" w:after="160"/>
        <w:ind w:left="0" w:right="0" w:firstLine="360"/>
        <w:jc w:val="left"/>
        <w:rPr/>
      </w:pPr>
      <w:r>
        <w:rPr/>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Residential Loans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Excluding government insured loans, our residential portfolio consists largely of performing jumbo mortgage loans purchased through established correspondent channels with FICO scores above 720, full documentation, current LTVs of 80% or less and are primarily owner-occupied. Loans with LTVs higher than 80% may be extended to selected credit-worthy borrowers. We perform due diligence on the purchased loans for credit, compliance, counterparty, payment history and property valuation.</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 dedicated residential credit risk management function, and the residential portfolio is monitored by our internal credit review function. Residential mortgage loans are not individually risk rated. Delinquency status is the primary measure we use to monitor the credit quality of these loans. We also consider original LTV and most recently available FICO score to be significant indicators of credit quality for the 1-4 single family residential portfolio, excluding government insured residential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48285"/>
                <wp:effectExtent l="0" t="0" r="0" b="0"/>
                <wp:wrapNone/>
                <wp:docPr id="58" name="Frame5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charts present information about the 1-4 single family residential portfolio, excluding government insured loans, by FICO distribution, LTV distribution and vintage at March 31, 2026:</w:t>
      </w:r>
    </w:p>
    <w:tbl>
      <w:tblPr>
        <w:tblW w:w="47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524"/>
        <w:gridCol w:w="524"/>
        <w:gridCol w:w="526"/>
        <w:gridCol w:w="109"/>
        <w:gridCol w:w="109"/>
        <w:gridCol w:w="109"/>
        <w:gridCol w:w="237"/>
        <w:gridCol w:w="237"/>
        <w:gridCol w:w="337"/>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FICO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LTV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Vintage</w:t>
            </w:r>
          </w:p>
        </w:tc>
      </w:tr>
    </w:tbl>
    <w:p>
      <w:pPr>
        <w:pStyle w:val="TextBody"/>
        <w:bidi w:val="0"/>
        <w:spacing w:before="160" w:after="160"/>
        <w:jc w:val="left"/>
        <w:rPr/>
      </w:pPr>
      <w:r>
        <w:rPr/>
        <w:drawing>
          <wp:inline distT="0" distB="0" distL="0" distR="0">
            <wp:extent cx="2000250" cy="2371725"/>
            <wp:effectExtent l="0" t="0" r="0" b="0"/>
            <wp:docPr id="5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9" descr=""/>
                    <pic:cNvPicPr>
                      <a:picLocks noChangeAspect="1" noChangeArrowheads="1"/>
                    </pic:cNvPicPr>
                  </pic:nvPicPr>
                  <pic:blipFill>
                    <a:blip r:embed="rId10"/>
                    <a:stretch>
                      <a:fillRect/>
                    </a:stretch>
                  </pic:blipFill>
                  <pic:spPr bwMode="auto">
                    <a:xfrm>
                      <a:off x="0" y="0"/>
                      <a:ext cx="2000250" cy="2371725"/>
                    </a:xfrm>
                    <a:prstGeom prst="rect">
                      <a:avLst/>
                    </a:prstGeom>
                  </pic:spPr>
                </pic:pic>
              </a:graphicData>
            </a:graphic>
          </wp:inline>
        </w:drawing>
      </w:r>
      <w:bookmarkStart w:id="8" w:name="i-9"/>
      <w:bookmarkEnd w:id="8"/>
      <w:r>
        <w:rPr/>
        <w:drawing>
          <wp:inline distT="0" distB="0" distL="0" distR="0">
            <wp:extent cx="2286000" cy="2371725"/>
            <wp:effectExtent l="0" t="0" r="0" b="0"/>
            <wp:docPr id="6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0" descr=""/>
                    <pic:cNvPicPr>
                      <a:picLocks noChangeAspect="1" noChangeArrowheads="1"/>
                    </pic:cNvPicPr>
                  </pic:nvPicPr>
                  <pic:blipFill>
                    <a:blip r:embed="rId11"/>
                    <a:stretch>
                      <a:fillRect/>
                    </a:stretch>
                  </pic:blipFill>
                  <pic:spPr bwMode="auto">
                    <a:xfrm>
                      <a:off x="0" y="0"/>
                      <a:ext cx="2286000" cy="2371725"/>
                    </a:xfrm>
                    <a:prstGeom prst="rect">
                      <a:avLst/>
                    </a:prstGeom>
                  </pic:spPr>
                </pic:pic>
              </a:graphicData>
            </a:graphic>
          </wp:inline>
        </w:drawing>
      </w:r>
      <w:bookmarkStart w:id="9" w:name="i-10"/>
      <w:bookmarkEnd w:id="9"/>
      <w:r>
        <w:rPr/>
        <w:drawing>
          <wp:inline distT="0" distB="0" distL="0" distR="0">
            <wp:extent cx="2190750" cy="2371725"/>
            <wp:effectExtent l="0" t="0" r="0" b="0"/>
            <wp:docPr id="6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1" descr=""/>
                    <pic:cNvPicPr>
                      <a:picLocks noChangeAspect="1" noChangeArrowheads="1"/>
                    </pic:cNvPicPr>
                  </pic:nvPicPr>
                  <pic:blipFill>
                    <a:blip r:embed="rId12"/>
                    <a:stretch>
                      <a:fillRect/>
                    </a:stretch>
                  </pic:blipFill>
                  <pic:spPr bwMode="auto">
                    <a:xfrm>
                      <a:off x="0" y="0"/>
                      <a:ext cx="2190750" cy="2371725"/>
                    </a:xfrm>
                    <a:prstGeom prst="rect">
                      <a:avLst/>
                    </a:prstGeom>
                  </pic:spPr>
                </pic:pic>
              </a:graphicData>
            </a:graphic>
          </wp:inline>
        </w:drawing>
      </w:r>
      <w:bookmarkStart w:id="10" w:name="i-11"/>
      <w:bookmarkEnd w:id="10"/>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graph presents delinquency trends for residential loans, excluding government insured residential loans, over the periods indicated (in millions):</w:t>
      </w:r>
    </w:p>
    <w:tbl>
      <w:tblPr>
        <w:tblW w:w="2325" w:type="dxa"/>
        <w:jc w:val="left"/>
        <w:tblInd w:w="0" w:type="dxa"/>
        <w:tblLayout w:type="fixed"/>
        <w:tblCellMar>
          <w:top w:w="28" w:type="dxa"/>
          <w:left w:w="28" w:type="dxa"/>
          <w:bottom w:w="28" w:type="dxa"/>
          <w:right w:w="28" w:type="dxa"/>
        </w:tblCellMar>
      </w:tblPr>
      <w:tblGrid>
        <w:gridCol w:w="745"/>
        <w:gridCol w:w="654"/>
        <w:gridCol w:w="926"/>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1ABE6"/>
                <w:sz w:val="20"/>
              </w:rPr>
            </w:pPr>
            <w:r>
              <w:rPr>
                <w:rFonts w:ascii="Times New Roman;serif" w:hAnsi="Times New Roman;serif"/>
                <w:b/>
                <w:color w:val="01ABE6"/>
                <w:sz w:val="20"/>
              </w:rPr>
              <w:t>Residential Delinquencies</w:t>
            </w:r>
          </w:p>
        </w:tc>
      </w:tr>
    </w:tbl>
    <w:p>
      <w:pPr>
        <w:pStyle w:val="TextBody"/>
        <w:bidi w:val="0"/>
        <w:spacing w:before="160" w:after="160"/>
        <w:ind w:left="0" w:right="0" w:firstLine="360"/>
        <w:jc w:val="left"/>
        <w:rPr/>
      </w:pPr>
      <w:r>
        <w:rPr/>
        <w:drawing>
          <wp:inline distT="0" distB="0" distL="0" distR="0">
            <wp:extent cx="5295900" cy="1914525"/>
            <wp:effectExtent l="0" t="0" r="0" b="0"/>
            <wp:docPr id="6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2" descr=""/>
                    <pic:cNvPicPr>
                      <a:picLocks noChangeAspect="1" noChangeArrowheads="1"/>
                    </pic:cNvPicPr>
                  </pic:nvPicPr>
                  <pic:blipFill>
                    <a:blip r:embed="rId13"/>
                    <a:stretch>
                      <a:fillRect/>
                    </a:stretch>
                  </pic:blipFill>
                  <pic:spPr bwMode="auto">
                    <a:xfrm>
                      <a:off x="0" y="0"/>
                      <a:ext cx="5295900" cy="1914525"/>
                    </a:xfrm>
                    <a:prstGeom prst="rect">
                      <a:avLst/>
                    </a:prstGeom>
                  </pic:spPr>
                </pic:pic>
              </a:graphicData>
            </a:graphic>
          </wp:inline>
        </w:drawing>
      </w:r>
      <w:bookmarkStart w:id="11" w:name="i-12"/>
      <w:bookmarkEnd w:id="11"/>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FICO scores are generally updated semi-annually and were most recently updated in the first quarter of 2026. LTVs are typically based on valuation at origination.</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Note 4 to the consolidated financial statements presents additional information about key credit quality indicators and delinquency status of the loan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48285"/>
                <wp:effectExtent l="0" t="0" r="0" b="0"/>
                <wp:wrapNone/>
                <wp:docPr id="63" name="Frame5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Non-Performing Assets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Non-performing assets consist of (i) non-accrual loans, (ii) accruing loans that are more than 90 days contractually past due as to interest or principal, excluding PCD loans for which management has a reasonable basis for an expectation about future cash flows and government insured residential loans, and (iii) OREO and other non-performing assets.</w:t>
      </w:r>
    </w:p>
    <w:p>
      <w:pPr>
        <w:pStyle w:val="TextBody"/>
        <w:bidi w:val="0"/>
        <w:spacing w:lineRule="auto" w:line="288" w:before="16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non-performing loans and non-performing assets at the dates indicated (dollars in thousands):</w:t>
      </w:r>
    </w:p>
    <w:tbl>
      <w:tblPr>
        <w:tblW w:w="10205" w:type="dxa"/>
        <w:jc w:val="left"/>
        <w:tblInd w:w="0" w:type="dxa"/>
        <w:tblLayout w:type="fixed"/>
        <w:tblCellMar>
          <w:top w:w="28" w:type="dxa"/>
          <w:left w:w="28" w:type="dxa"/>
          <w:bottom w:w="28" w:type="dxa"/>
          <w:right w:w="28" w:type="dxa"/>
        </w:tblCellMar>
      </w:tblPr>
      <w:tblGrid>
        <w:gridCol w:w="2541"/>
        <w:gridCol w:w="2193"/>
        <w:gridCol w:w="2197"/>
        <w:gridCol w:w="438"/>
        <w:gridCol w:w="232"/>
        <w:gridCol w:w="573"/>
        <w:gridCol w:w="109"/>
        <w:gridCol w:w="109"/>
        <w:gridCol w:w="109"/>
        <w:gridCol w:w="109"/>
        <w:gridCol w:w="109"/>
        <w:gridCol w:w="484"/>
        <w:gridCol w:w="264"/>
        <w:gridCol w:w="738"/>
      </w:tblGrid>
      <w:tr>
        <w:trPr/>
        <w:tc>
          <w:tcPr>
            <w:tcW w:w="2541"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w:t>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 commercial real estate</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67,348</w:t>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29,662</w:t>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 commercial real estate</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w:t>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187,068</w:t>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Franchise and equipment finance</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w:t>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Guaranteed portion of SBA</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37,926</w:t>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Non-guaranteed portion of SBA</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loans</w:t>
            </w:r>
          </w:p>
        </w:tc>
        <w:tc>
          <w:tcPr>
            <w:tcW w:w="12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349,742</w:t>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22,876</w:t>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non-accrual loans</w:t>
            </w:r>
          </w:p>
        </w:tc>
        <w:tc>
          <w:tcPr>
            <w:tcW w:w="12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372,618</w:t>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past due 90 days and still accruing</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loans</w:t>
            </w:r>
          </w:p>
        </w:tc>
        <w:tc>
          <w:tcPr>
            <w:tcW w:w="12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372,618</w:t>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OREO and other non-performing assets</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w:t>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assets</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377,447</w:t>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Non-performing loans to total loans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Non-performing loans, excluding the guaranteed portion of non-accrual SBA loans, to total loans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Non-performing assets to total assets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Non-performing assets, excluding the guaranteed portion of non-accrual SBA loans, to total assets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ACL to total loans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Commercial ACL to commercial loans </w:t>
            </w:r>
            <w:r>
              <w:rPr>
                <w:rFonts w:ascii="Times New Roman;serif" w:hAnsi="Times New Roman;serif"/>
                <w:b w:val="false"/>
                <w:color w:val="000000"/>
                <w:sz w:val="12"/>
              </w:rPr>
              <w:t>(1)</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ACL to non-performing loans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75.90 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charge-offs to average loans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charge-offs to average loans, trailing twelve months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For purposes of this ratio, commercial loans includes the C&amp;I and CRE sub-segments, as well as franchise and equipment finance. Due to their unique risk profiles, MWL and municipal finance are excluded from this ratio.</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Contractually delinquent government insured residential loans are typically Buyout Loans and are excluded from non-performing loans as defined in the table above due to their government guarantee. The carrying value of such loans contractually delinquent by 90 days or more was $197 million and $159 million at March 31, 2026 and December 31, 2025, respectively.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the ACL to non-performing loans coverage ratio reflected overall lower non-performing loan balances at March 31, 2026 compared to December 31, 2025.</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charts present non-performing CRE loans by property type at the dates indicated (in millions):</w:t>
      </w:r>
    </w:p>
    <w:tbl>
      <w:tblPr>
        <w:tblW w:w="3550" w:type="dxa"/>
        <w:jc w:val="left"/>
        <w:tblInd w:w="0" w:type="dxa"/>
        <w:tblLayout w:type="fixed"/>
        <w:tblCellMar>
          <w:top w:w="28" w:type="dxa"/>
          <w:left w:w="28" w:type="dxa"/>
          <w:bottom w:w="28" w:type="dxa"/>
          <w:right w:w="28" w:type="dxa"/>
        </w:tblCellMar>
      </w:tblPr>
      <w:tblGrid>
        <w:gridCol w:w="526"/>
        <w:gridCol w:w="463"/>
        <w:gridCol w:w="465"/>
        <w:gridCol w:w="109"/>
        <w:gridCol w:w="109"/>
        <w:gridCol w:w="109"/>
        <w:gridCol w:w="517"/>
        <w:gridCol w:w="517"/>
        <w:gridCol w:w="735"/>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December 31, 2025</w:t>
            </w:r>
          </w:p>
        </w:tc>
      </w:tr>
    </w:tbl>
    <w:p>
      <w:pPr>
        <w:pStyle w:val="TextBody"/>
        <w:bidi w:val="0"/>
        <w:spacing w:lineRule="auto" w:line="288" w:before="160" w:after="160"/>
        <w:ind w:left="0" w:right="0" w:firstLine="360"/>
        <w:jc w:val="left"/>
        <w:rPr/>
      </w:pPr>
      <w:r>
        <w:rPr/>
        <w:drawing>
          <wp:inline distT="0" distB="0" distL="0" distR="0">
            <wp:extent cx="2647950" cy="2095500"/>
            <wp:effectExtent l="0" t="0" r="0" b="0"/>
            <wp:docPr id="6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3" descr=""/>
                    <pic:cNvPicPr>
                      <a:picLocks noChangeAspect="1" noChangeArrowheads="1"/>
                    </pic:cNvPicPr>
                  </pic:nvPicPr>
                  <pic:blipFill>
                    <a:blip r:embed="rId14"/>
                    <a:stretch>
                      <a:fillRect/>
                    </a:stretch>
                  </pic:blipFill>
                  <pic:spPr bwMode="auto">
                    <a:xfrm>
                      <a:off x="0" y="0"/>
                      <a:ext cx="2647950" cy="2095500"/>
                    </a:xfrm>
                    <a:prstGeom prst="rect">
                      <a:avLst/>
                    </a:prstGeom>
                  </pic:spPr>
                </pic:pic>
              </a:graphicData>
            </a:graphic>
          </wp:inline>
        </w:drawing>
      </w:r>
      <w:bookmarkStart w:id="12" w:name="i-13"/>
      <w:bookmarkEnd w:id="12"/>
      <w:r>
        <w:rPr>
          <w:color w:val="000000"/>
        </w:rPr>
        <w:t xml:space="preserve"> </w:t>
      </w:r>
      <w:r>
        <w:rPr/>
        <w:drawing>
          <wp:inline distT="0" distB="0" distL="0" distR="0">
            <wp:extent cx="3467100" cy="2095500"/>
            <wp:effectExtent l="0" t="0" r="0" b="0"/>
            <wp:docPr id="6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4" descr=""/>
                    <pic:cNvPicPr>
                      <a:picLocks noChangeAspect="1" noChangeArrowheads="1"/>
                    </pic:cNvPicPr>
                  </pic:nvPicPr>
                  <pic:blipFill>
                    <a:blip r:embed="rId15"/>
                    <a:stretch>
                      <a:fillRect/>
                    </a:stretch>
                  </pic:blipFill>
                  <pic:spPr bwMode="auto">
                    <a:xfrm>
                      <a:off x="0" y="0"/>
                      <a:ext cx="3467100" cy="2095500"/>
                    </a:xfrm>
                    <a:prstGeom prst="rect">
                      <a:avLst/>
                    </a:prstGeom>
                  </pic:spPr>
                </pic:pic>
              </a:graphicData>
            </a:graphic>
          </wp:inline>
        </w:drawing>
      </w:r>
      <w:bookmarkStart w:id="13" w:name="i-14"/>
      <w:bookmarkEnd w:id="13"/>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Commercial loans are placed on non-accrual status when (i) management has determined that full repayment of all contractual principal and interest is in doubt, or (ii) the loan is past due 90 days or more as to principal or interest unless the loan is well secured and in the process of collection. Residential loans, other than Buyout Loans, are generally placed on non-accrual status when they are 60 days past due. When a loan is placed on non-accrual status, uncollected interest accrued is reversed and charged to interest income. Commercial loans are returned to accrual status only after all past due principal and interest has been collected and full repayment of remaining contractual principal and interest is reasonably assured. Residential loans are generally returned to accrual status when less than 60 days past due. Past due status of loans is determined based on the contractual next payment due date. Loans less than 30 days past due are reported as current.</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Loss Mitigation Strategies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Criticized or classified commercial loans in excess of certain thresholds are reviewed quarterly by the Criticized Asset Committee, which evaluates the appropriate strategy for collection to mitigate the amount of credit losses and considers the appropriate risk rating for these loans. Criticized asset reports for each relationship are presented by the assigned relationship manager and credit officer to the Criticized Asset Committee until such time as the relationships are returned to a satisfactory credit risk rating or otherwise resolved. The Criticized Asset Committee may require the transfer of a loan to our workout and recovery department, which is tasked to effectively manage the loan with the goal of minimizing losses and expenses associated with restructure, collection and/or liquidation of collateral. Commercial loans with a risk rating of substandard, loans on non-accrual status, and assets classified as OREO or repossessed assets are usually transferred to workout and recovery. Oversight of the workout and recovery department is provided by the Criticized Asset Committee.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servicers evaluate each residential loan in default to determine the most effective loss mitigation strategy, which may be modification, short sale, or foreclosure, and pursue the alternative most suitable to the consumer and to mitigate losses to the Bank.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Analysis of the Allowance for Credit Losses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ACL is management's estimate of the amount of expected credit losses over the life of the loan portfolio, or the amount of amortized cost basis not expected to be collected, at the balance sheet date. This estimate encompasses information about historical events, current conditions and reasonable and supportable economic forecasts. Determining the amount of the ACL is complex and requires extensive judgment by management about matters that are inherently uncertain. Given the complexity of the ACL estimate, the level of management judgment required and inherent uncertainty with respect to future developments in the external environment, it is possible that the ACL estimate could change, potentially materially, in future periods. Changes in the ACL may result from changes in current economic conditions, including but not limited to unanticipated changes in interest rates or inflationary pressures, changes in our economic forecast, loan portfolio composition, commercial and residential real estate market dynamics and other circumstances not currently known to us that may impact the financial condition and operations of our borrowers, among other factors.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Expected credit losses are estimated on a collective basis for groups of loans that share similar risk characteristics. For loans that do not share similar risk characteristics with other loans such as collateral dependent loans, expected credit losses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48285"/>
                <wp:effectExtent l="0" t="0" r="0" b="0"/>
                <wp:wrapNone/>
                <wp:docPr id="66" name="Frame5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estimated on an individual basis. Expected credit losses are estimated over the contractual terms of the loans, adjusted for expected prepayments, generally excluding expected extensions, renewals, and modifications.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substantial majority of portfolio segments and subsegments, including residential loans other than government insured loans and most commercial and commercial real estate loans, expected losses are estimated using econometric models. </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single economic scenario or a probability weighted blend of economic scenarios may be used. The models ingest numerous national, regional and MSA level variables and data points. At March 31, 2026 and December 31, 2025, we used a combination of weighted third-party provided economic scenarios in calculating the quantitative portion of the ACL. Each of these externally provided scenarios in fact represents the result of a probability weighting of thousands of individual scenario paths.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1 to the consolidated financial statements of the Company's 2025 Annual Report on Form 10-K for more detailed information about our ACL methodology and related accounting policies.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an analysis of the ACL, the provision for credit losses related to the funded portion of loans and net charge-offs by loan segment for the periods indicated (dollars in thousands):</w:t>
      </w:r>
    </w:p>
    <w:tbl>
      <w:tblPr>
        <w:tblW w:w="10205" w:type="dxa"/>
        <w:jc w:val="left"/>
        <w:tblInd w:w="0" w:type="dxa"/>
        <w:tblLayout w:type="fixed"/>
        <w:tblCellMar>
          <w:top w:w="28" w:type="dxa"/>
          <w:left w:w="28" w:type="dxa"/>
          <w:bottom w:w="28" w:type="dxa"/>
          <w:right w:w="28" w:type="dxa"/>
        </w:tblCellMar>
      </w:tblPr>
      <w:tblGrid>
        <w:gridCol w:w="398"/>
        <w:gridCol w:w="350"/>
        <w:gridCol w:w="351"/>
        <w:gridCol w:w="109"/>
        <w:gridCol w:w="109"/>
        <w:gridCol w:w="109"/>
        <w:gridCol w:w="196"/>
        <w:gridCol w:w="646"/>
        <w:gridCol w:w="241"/>
        <w:gridCol w:w="109"/>
        <w:gridCol w:w="109"/>
        <w:gridCol w:w="109"/>
        <w:gridCol w:w="196"/>
        <w:gridCol w:w="736"/>
        <w:gridCol w:w="241"/>
        <w:gridCol w:w="109"/>
        <w:gridCol w:w="109"/>
        <w:gridCol w:w="109"/>
        <w:gridCol w:w="212"/>
        <w:gridCol w:w="457"/>
        <w:gridCol w:w="263"/>
        <w:gridCol w:w="109"/>
        <w:gridCol w:w="109"/>
        <w:gridCol w:w="109"/>
        <w:gridCol w:w="196"/>
        <w:gridCol w:w="558"/>
        <w:gridCol w:w="241"/>
        <w:gridCol w:w="109"/>
        <w:gridCol w:w="109"/>
        <w:gridCol w:w="109"/>
        <w:gridCol w:w="196"/>
        <w:gridCol w:w="646"/>
        <w:gridCol w:w="241"/>
        <w:gridCol w:w="109"/>
        <w:gridCol w:w="109"/>
        <w:gridCol w:w="109"/>
        <w:gridCol w:w="196"/>
        <w:gridCol w:w="736"/>
        <w:gridCol w:w="241"/>
        <w:gridCol w:w="109"/>
        <w:gridCol w:w="109"/>
        <w:gridCol w:w="109"/>
        <w:gridCol w:w="109"/>
        <w:gridCol w:w="109"/>
        <w:gridCol w:w="160"/>
      </w:tblGrid>
      <w:tr>
        <w:trPr/>
        <w:tc>
          <w:tcPr>
            <w:tcW w:w="3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Pinnacle - Municipal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Franchise and Equipment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Residential and MWL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70,458 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223,153 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(14,245)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(22,757)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65,592 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136,599 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219,747 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219,825 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(36,458)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(36,796)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141,861 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208,790 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Charge-offs to Average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Three months ended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Three months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distribution of the ACL at the dates indicated (dollars in thousands):</w:t>
      </w:r>
    </w:p>
    <w:tbl>
      <w:tblPr>
        <w:tblW w:w="8287" w:type="dxa"/>
        <w:jc w:val="left"/>
        <w:tblInd w:w="0" w:type="dxa"/>
        <w:tblLayout w:type="fixed"/>
        <w:tblCellMar>
          <w:top w:w="28" w:type="dxa"/>
          <w:left w:w="28" w:type="dxa"/>
          <w:bottom w:w="28" w:type="dxa"/>
          <w:right w:w="28" w:type="dxa"/>
        </w:tblCellMar>
      </w:tblPr>
      <w:tblGrid>
        <w:gridCol w:w="881"/>
        <w:gridCol w:w="774"/>
        <w:gridCol w:w="790"/>
        <w:gridCol w:w="196"/>
        <w:gridCol w:w="736"/>
        <w:gridCol w:w="109"/>
        <w:gridCol w:w="109"/>
        <w:gridCol w:w="109"/>
        <w:gridCol w:w="109"/>
        <w:gridCol w:w="278"/>
        <w:gridCol w:w="278"/>
        <w:gridCol w:w="256"/>
        <w:gridCol w:w="109"/>
        <w:gridCol w:w="109"/>
        <w:gridCol w:w="109"/>
        <w:gridCol w:w="109"/>
        <w:gridCol w:w="109"/>
        <w:gridCol w:w="129"/>
        <w:gridCol w:w="129"/>
        <w:gridCol w:w="233"/>
        <w:gridCol w:w="877"/>
        <w:gridCol w:w="129"/>
        <w:gridCol w:w="109"/>
        <w:gridCol w:w="109"/>
        <w:gridCol w:w="109"/>
        <w:gridCol w:w="278"/>
        <w:gridCol w:w="278"/>
        <w:gridCol w:w="256"/>
        <w:gridCol w:w="109"/>
        <w:gridCol w:w="109"/>
        <w:gridCol w:w="109"/>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CRE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58,344 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Pinnacle - municipal finance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Franchise and equipment finance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208,047 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Residential and MWL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219,825 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percentage of loans receivable in each category to total loans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48285"/>
                <wp:effectExtent l="0" t="0" r="0" b="0"/>
                <wp:wrapNone/>
                <wp:docPr id="67" name="Frame5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ACL as a percentage of loans at the dates indicated, by portfolio sub-segment:</w:t>
      </w:r>
    </w:p>
    <w:tbl>
      <w:tblPr>
        <w:tblW w:w="6756" w:type="dxa"/>
        <w:jc w:val="left"/>
        <w:tblInd w:w="0" w:type="dxa"/>
        <w:tblLayout w:type="fixed"/>
        <w:tblCellMar>
          <w:top w:w="28" w:type="dxa"/>
          <w:left w:w="28" w:type="dxa"/>
          <w:bottom w:w="28" w:type="dxa"/>
          <w:right w:w="28" w:type="dxa"/>
        </w:tblCellMar>
      </w:tblPr>
      <w:tblGrid>
        <w:gridCol w:w="1014"/>
        <w:gridCol w:w="894"/>
        <w:gridCol w:w="896"/>
        <w:gridCol w:w="336"/>
        <w:gridCol w:w="280"/>
        <w:gridCol w:w="701"/>
        <w:gridCol w:w="109"/>
        <w:gridCol w:w="109"/>
        <w:gridCol w:w="109"/>
        <w:gridCol w:w="109"/>
        <w:gridCol w:w="109"/>
        <w:gridCol w:w="109"/>
        <w:gridCol w:w="109"/>
        <w:gridCol w:w="334"/>
        <w:gridCol w:w="334"/>
        <w:gridCol w:w="832"/>
        <w:gridCol w:w="109"/>
        <w:gridCol w:w="109"/>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Franchise and equipment finance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commercial </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Pinnacle - municipal finance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Residential and MWL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ACL to non-performing loans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75.90 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ACL to CRE office loans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the ACL during the three months ended March 31, 2026, are depicted in the chart below (dollars in millions):</w:t>
      </w:r>
    </w:p>
    <w:p>
      <w:pPr>
        <w:pStyle w:val="TextBody"/>
        <w:bidi w:val="0"/>
        <w:spacing w:before="160" w:after="160"/>
        <w:ind w:left="0" w:right="0" w:firstLine="360"/>
        <w:jc w:val="left"/>
        <w:rPr/>
      </w:pPr>
      <w:r>
        <w:rPr/>
        <w:drawing>
          <wp:inline distT="0" distB="0" distL="0" distR="0">
            <wp:extent cx="6286500" cy="3228975"/>
            <wp:effectExtent l="0" t="0" r="0" b="0"/>
            <wp:docPr id="6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5" descr=""/>
                    <pic:cNvPicPr>
                      <a:picLocks noChangeAspect="1" noChangeArrowheads="1"/>
                    </pic:cNvPicPr>
                  </pic:nvPicPr>
                  <pic:blipFill>
                    <a:blip r:embed="rId16"/>
                    <a:stretch>
                      <a:fillRect/>
                    </a:stretch>
                  </pic:blipFill>
                  <pic:spPr bwMode="auto">
                    <a:xfrm>
                      <a:off x="0" y="0"/>
                      <a:ext cx="6286500" cy="3228975"/>
                    </a:xfrm>
                    <a:prstGeom prst="rect">
                      <a:avLst/>
                    </a:prstGeom>
                  </pic:spPr>
                </pic:pic>
              </a:graphicData>
            </a:graphic>
          </wp:inline>
        </w:drawing>
      </w:r>
      <w:bookmarkStart w:id="14" w:name="i-15"/>
      <w:bookmarkEnd w:id="14"/>
    </w:p>
    <w:p>
      <w:pPr>
        <w:pStyle w:val="TextBody"/>
        <w:bidi w:val="0"/>
        <w:spacing w:lineRule="auto" w:line="288" w:before="240" w:after="160"/>
        <w:jc w:val="left"/>
        <w:rPr>
          <w:rFonts w:ascii="Times New Roman;serif" w:hAnsi="Times New Roman;serif"/>
          <w:b w:val="false"/>
          <w:i/>
          <w:color w:val="000000"/>
          <w:sz w:val="20"/>
        </w:rPr>
      </w:pPr>
      <w:r>
        <w:rPr>
          <w:rFonts w:ascii="Times New Roman;serif" w:hAnsi="Times New Roman;serif"/>
          <w:b w:val="false"/>
          <w:i/>
          <w:color w:val="000000"/>
          <w:sz w:val="20"/>
        </w:rPr>
        <w:t>Changes in the ACL during the three months ended March 31, 2026</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depicted in the chart above, the most significant factors impacting the ACL for the three months ended March 31, 2026, were net charge-offs, partially offset by increases in specific reserves. The ACL was also impacted, although to a lesser extent, by an increase in certain qualitative factors and decreases related to (i) improvement in the economic forecast, (ii) changes in portfolio composition and borrower financial performance and (iii) routine modeling and assumption changes.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March 31, 2026, the ratio of the ACL to loans was 0.87%, compared to 0.91% at December 31, 2025. The commercial ACL ratio, inclusive of C&amp;I, CRE, and franchise and equipment finance was 1.25% at March 31, 2026 compared to 1.30% at December 31, 2025. The ACL to loans ratio for CRE office loans was 1.69% at March 31, 2026 compared to 2.03% at December 31, 2025. Further discussion of changes in the ACL for select portfolio sub-segments follows: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ACL for the CRE portfolio sub-segment decreased by $2.6 million during the three months ended March 31, 2026, from 0.86% to 0.81% of loans, primarily a result of improvements in criticized and classified loans.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ACL for the commercial and industrial sub-segment decreased by $6.8 million during the three months ended March 31, 2026, from 1.65% to 1.60% of loans, primarily a result of net charge-offs, partially offset by increases in specific reserves.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48285"/>
                <wp:effectExtent l="0" t="0" r="0" b="0"/>
                <wp:wrapNone/>
                <wp:docPr id="69" name="Frame5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quantitative estimate of the ACL at March 31, 2026, was informed by forecasted economic scenarios published in March 2026, a wide variety of additional economic data, information about borrower financial condition and collateral values, and other relevant information. The quantitative portion of the ACL at March 31, 2026, was modeled using a weighting of baseline, downside and upside third-party economic scenarios, with the highest weighting ascribed to the baseline scenario and lower weightings ascribed to the downside and upside scenarios.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the high-level data points informing the baseline scenario used in estimating the quantitative portion of the ACL at March 31, 2026, included:</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Labor market assumptions, which reflected national unemployment peaking at 4.5% and</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Annualized growth in national GDP averaging 2.8%.</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above unemployment and GDP growth assumptions are provided to give a high level overview of the nature and severity of the baseline economic forecast scenario used in estimating the ACL. Numerous additional variables and assumptions not explicitly stated, including but not limited to detailed commercial and residential property forecasts, projected stock market performance and volatility indices and a variety of additional assumptions about market interest rates and spreads also contributed to the overall impact economic conditions and the economic forecast had on the ACL estimate. Furthermore, while the variables presented above are at the national level, many of the economic variables are regionalized at the market and submarket level in the models.</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about the ACL, see Note 4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Deposits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composition of deposits at the dates indicated is shown below: </w:t>
      </w:r>
    </w:p>
    <w:tbl>
      <w:tblPr>
        <w:tblW w:w="3550" w:type="dxa"/>
        <w:jc w:val="left"/>
        <w:tblInd w:w="0" w:type="dxa"/>
        <w:tblLayout w:type="fixed"/>
        <w:tblCellMar>
          <w:top w:w="28" w:type="dxa"/>
          <w:left w:w="28" w:type="dxa"/>
          <w:bottom w:w="28" w:type="dxa"/>
          <w:right w:w="28" w:type="dxa"/>
        </w:tblCellMar>
      </w:tblPr>
      <w:tblGrid>
        <w:gridCol w:w="526"/>
        <w:gridCol w:w="463"/>
        <w:gridCol w:w="465"/>
        <w:gridCol w:w="109"/>
        <w:gridCol w:w="109"/>
        <w:gridCol w:w="109"/>
        <w:gridCol w:w="517"/>
        <w:gridCol w:w="517"/>
        <w:gridCol w:w="735"/>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December 31, 2025</w:t>
            </w:r>
          </w:p>
        </w:tc>
      </w:tr>
    </w:tbl>
    <w:p>
      <w:pPr>
        <w:pStyle w:val="TextBody"/>
        <w:bidi w:val="0"/>
        <w:spacing w:lineRule="auto" w:line="288" w:before="160" w:after="160"/>
        <w:jc w:val="left"/>
        <w:rPr/>
      </w:pPr>
      <w:r>
        <w:rPr/>
        <w:drawing>
          <wp:inline distT="0" distB="0" distL="0" distR="0">
            <wp:extent cx="2371725" cy="1828800"/>
            <wp:effectExtent l="0" t="0" r="0" b="0"/>
            <wp:docPr id="7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6" descr=""/>
                    <pic:cNvPicPr>
                      <a:picLocks noChangeAspect="1" noChangeArrowheads="1"/>
                    </pic:cNvPicPr>
                  </pic:nvPicPr>
                  <pic:blipFill>
                    <a:blip r:embed="rId17"/>
                    <a:stretch>
                      <a:fillRect/>
                    </a:stretch>
                  </pic:blipFill>
                  <pic:spPr bwMode="auto">
                    <a:xfrm>
                      <a:off x="0" y="0"/>
                      <a:ext cx="2371725" cy="1828800"/>
                    </a:xfrm>
                    <a:prstGeom prst="rect">
                      <a:avLst/>
                    </a:prstGeom>
                  </pic:spPr>
                </pic:pic>
              </a:graphicData>
            </a:graphic>
          </wp:inline>
        </w:drawing>
      </w:r>
      <w:bookmarkStart w:id="15" w:name="i-16"/>
      <w:bookmarkEnd w:id="15"/>
      <w:r>
        <w:rPr>
          <w:color w:val="000000"/>
        </w:rPr>
        <w:t xml:space="preserve"> </w:t>
      </w:r>
      <w:r>
        <w:rPr/>
        <w:drawing>
          <wp:inline distT="0" distB="0" distL="0" distR="0">
            <wp:extent cx="3838575" cy="1828800"/>
            <wp:effectExtent l="0" t="0" r="0" b="0"/>
            <wp:docPr id="7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7" descr=""/>
                    <pic:cNvPicPr>
                      <a:picLocks noChangeAspect="1" noChangeArrowheads="1"/>
                    </pic:cNvPicPr>
                  </pic:nvPicPr>
                  <pic:blipFill>
                    <a:blip r:embed="rId18"/>
                    <a:stretch>
                      <a:fillRect/>
                    </a:stretch>
                  </pic:blipFill>
                  <pic:spPr bwMode="auto">
                    <a:xfrm>
                      <a:off x="0" y="0"/>
                      <a:ext cx="3838575" cy="1828800"/>
                    </a:xfrm>
                    <a:prstGeom prst="rect">
                      <a:avLst/>
                    </a:prstGeom>
                  </pic:spPr>
                </pic:pic>
              </a:graphicData>
            </a:graphic>
          </wp:inline>
        </w:drawing>
      </w:r>
      <w:bookmarkStart w:id="16" w:name="i-17"/>
      <w:bookmarkEnd w:id="16"/>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diverse deposit book. At March 31, 2026, our largest industry vertical was title insurance with approximately $4.1 billion in total deposits. Deposits in the HOA vertical totaled $2.3 billion at March 31, 2026. Approximately 70% of our deposits were commercial or municipal deposits at March 31, 2026.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Brokered deposits totaled $4.6 billion and $4.9 billion at March 31, 2026 and December 31, 2025, respectively. Brokered deposits are generally insured and typically a readily available source of funds, however, they are typically higher cost and in some circumstances, credit sensitive. We are strategically focused on reducing the level of brokered deposits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48285"/>
                <wp:effectExtent l="0" t="0" r="0" b="0"/>
                <wp:wrapNone/>
                <wp:docPr id="72" name="Frame5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graph presents trends in the deposit mix and cost of deposits (in millions):</w:t>
      </w:r>
    </w:p>
    <w:p>
      <w:pPr>
        <w:pStyle w:val="TextBody"/>
        <w:bidi w:val="0"/>
        <w:spacing w:before="260" w:after="283"/>
        <w:jc w:val="left"/>
        <w:rPr/>
      </w:pPr>
      <w:r>
        <w:rPr/>
        <w:drawing>
          <wp:inline distT="0" distB="0" distL="0" distR="0">
            <wp:extent cx="6486525" cy="2286000"/>
            <wp:effectExtent l="0" t="0" r="0" b="0"/>
            <wp:docPr id="7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8" descr=""/>
                    <pic:cNvPicPr>
                      <a:picLocks noChangeAspect="1" noChangeArrowheads="1"/>
                    </pic:cNvPicPr>
                  </pic:nvPicPr>
                  <pic:blipFill>
                    <a:blip r:embed="rId19"/>
                    <a:stretch>
                      <a:fillRect/>
                    </a:stretch>
                  </pic:blipFill>
                  <pic:spPr bwMode="auto">
                    <a:xfrm>
                      <a:off x="0" y="0"/>
                      <a:ext cx="6486525" cy="2286000"/>
                    </a:xfrm>
                    <a:prstGeom prst="rect">
                      <a:avLst/>
                    </a:prstGeom>
                  </pic:spPr>
                </pic:pic>
              </a:graphicData>
            </a:graphic>
          </wp:inline>
        </w:drawing>
      </w:r>
      <w:bookmarkStart w:id="17" w:name="i-18"/>
      <w:bookmarkEnd w:id="17"/>
    </w:p>
    <w:tbl>
      <w:tblPr>
        <w:tblW w:w="5319" w:type="dxa"/>
        <w:jc w:val="left"/>
        <w:tblInd w:w="0" w:type="dxa"/>
        <w:tblLayout w:type="fixed"/>
        <w:tblCellMar>
          <w:top w:w="28" w:type="dxa"/>
          <w:left w:w="28" w:type="dxa"/>
          <w:bottom w:w="28" w:type="dxa"/>
          <w:right w:w="28" w:type="dxa"/>
        </w:tblCellMar>
      </w:tblPr>
      <w:tblGrid>
        <w:gridCol w:w="1337"/>
        <w:gridCol w:w="1174"/>
        <w:gridCol w:w="1178"/>
        <w:gridCol w:w="109"/>
        <w:gridCol w:w="109"/>
        <w:gridCol w:w="209"/>
        <w:gridCol w:w="209"/>
        <w:gridCol w:w="211"/>
        <w:gridCol w:w="209"/>
        <w:gridCol w:w="209"/>
        <w:gridCol w:w="211"/>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Quarterly average cost of deposits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Non-interest bearing as a % of total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30.5%</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Spot average APY of total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Non-interest bearing demand deposits declined by 2%, or $166 million during the quarter ended March 31, 2026, primarily due to seasonality. Total deposits were essentially flat, quarter-over-quarter, increasing by $7 million while non-brokered deposits grew by $277 million during the quarter ended March 31, 2026.</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about Deposits, see Note 10 to the consolidated financial statements.</w:t>
      </w:r>
    </w:p>
    <w:p>
      <w:pPr>
        <w:pStyle w:val="TextBody"/>
        <w:bidi w:val="0"/>
        <w:spacing w:lineRule="auto" w:line="288" w:before="26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Borrowings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deposits, we utilize FHLB advances as a funding source; the advances provide us with additional flexibility in managing both term and cost of funding and in managing interest rate risk. FHLB advances are secured by qualifying residential first mortgage and commercial real estate loans and MBS. The following table presents information about the contractual balance and maturities of outstanding FHLB advances, as of March 31, 2026 (dollars in thousands):</w:t>
      </w:r>
    </w:p>
    <w:tbl>
      <w:tblPr>
        <w:tblW w:w="6722" w:type="dxa"/>
        <w:jc w:val="left"/>
        <w:tblInd w:w="0" w:type="dxa"/>
        <w:tblLayout w:type="fixed"/>
        <w:tblCellMar>
          <w:top w:w="28" w:type="dxa"/>
          <w:left w:w="28" w:type="dxa"/>
          <w:bottom w:w="28" w:type="dxa"/>
          <w:right w:w="28" w:type="dxa"/>
        </w:tblCellMar>
      </w:tblPr>
      <w:tblGrid>
        <w:gridCol w:w="1163"/>
        <w:gridCol w:w="1020"/>
        <w:gridCol w:w="1026"/>
        <w:gridCol w:w="211"/>
        <w:gridCol w:w="976"/>
        <w:gridCol w:w="109"/>
        <w:gridCol w:w="109"/>
        <w:gridCol w:w="109"/>
        <w:gridCol w:w="109"/>
        <w:gridCol w:w="384"/>
        <w:gridCol w:w="384"/>
        <w:gridCol w:w="1122"/>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Rate</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 One month or less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 Over one month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balance outstanding</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above reflects contractual maturities of outstanding advances and does not incorporate the impact that interest rate swaps designated as cash flow hedges have on the duration or cost of borrowings.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information about outstanding interest rate swaps hedging the variability of interest cash flows on the FHLB advances included in the table above, as of March 31, 2026 (dollars in thousands):</w:t>
      </w:r>
    </w:p>
    <w:tbl>
      <w:tblPr>
        <w:tblW w:w="6175" w:type="dxa"/>
        <w:jc w:val="left"/>
        <w:tblInd w:w="0" w:type="dxa"/>
        <w:tblLayout w:type="fixed"/>
        <w:tblCellMar>
          <w:top w:w="28" w:type="dxa"/>
          <w:left w:w="28" w:type="dxa"/>
          <w:bottom w:w="28" w:type="dxa"/>
          <w:right w:w="28" w:type="dxa"/>
        </w:tblCellMar>
      </w:tblPr>
      <w:tblGrid>
        <w:gridCol w:w="940"/>
        <w:gridCol w:w="824"/>
        <w:gridCol w:w="830"/>
        <w:gridCol w:w="251"/>
        <w:gridCol w:w="984"/>
        <w:gridCol w:w="129"/>
        <w:gridCol w:w="109"/>
        <w:gridCol w:w="109"/>
        <w:gridCol w:w="109"/>
        <w:gridCol w:w="384"/>
        <w:gridCol w:w="384"/>
        <w:gridCol w:w="1122"/>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Rate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 hedges maturing in:</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705,000 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1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48285"/>
                <wp:effectExtent l="0" t="0" r="0" b="0"/>
                <wp:wrapNone/>
                <wp:docPr id="74" name="Frame5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6 to the consolidated financial statements and "Interest Rate Risk" below for more information about derivative instruments.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Outstanding notes payable and other borrowings consisted of the following at the dates indicated (in thousands):</w:t>
      </w:r>
    </w:p>
    <w:tbl>
      <w:tblPr>
        <w:tblW w:w="9448" w:type="dxa"/>
        <w:jc w:val="left"/>
        <w:tblInd w:w="0" w:type="dxa"/>
        <w:tblLayout w:type="fixed"/>
        <w:tblCellMar>
          <w:top w:w="28" w:type="dxa"/>
          <w:left w:w="28" w:type="dxa"/>
          <w:bottom w:w="28" w:type="dxa"/>
          <w:right w:w="28" w:type="dxa"/>
        </w:tblCellMar>
      </w:tblPr>
      <w:tblGrid>
        <w:gridCol w:w="2248"/>
        <w:gridCol w:w="1975"/>
        <w:gridCol w:w="1986"/>
        <w:gridCol w:w="232"/>
        <w:gridCol w:w="908"/>
        <w:gridCol w:w="119"/>
        <w:gridCol w:w="109"/>
        <w:gridCol w:w="109"/>
        <w:gridCol w:w="109"/>
        <w:gridCol w:w="276"/>
        <w:gridCol w:w="1081"/>
        <w:gridCol w:w="142"/>
        <w:gridCol w:w="154"/>
      </w:tblGrid>
      <w:tr>
        <w:trPr/>
        <w:tc>
          <w:tcPr>
            <w:tcW w:w="2248"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amount of 5.125% subordinated notes maturing on June 11, 2030</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debt issuance costs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297,016 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296,857 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297,016 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296,857 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borrowings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319,340 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319,740 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Liquidity involves our ability to generate adequate funds to support planned interest earning asset growth, meet deposit withdrawal and credit line usage requests in both normal operating and stressed environments, maintain reserve requirements, conduct routine operations, pay dividends, service outstanding debt and meet other contractual obligations.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BankUnited's ongoing liquidity needs have historically been met primarily by cash flows from operations, deposit growth, the investment portfolio, its amortizing loan portfolio and FHLB advances. FRB discount window capacity, repurchase agreement capacity and a letter of credit with the FHLB provide additional sources of contingent liquidity.</w:t>
      </w:r>
    </w:p>
    <w:p>
      <w:pPr>
        <w:pStyle w:val="TextBody"/>
        <w:bidi w:val="0"/>
        <w:spacing w:lineRule="auto" w:line="288" w:before="160" w:after="160"/>
        <w:ind w:left="0" w:right="0" w:firstLine="360"/>
        <w:jc w:val="left"/>
        <w:rPr/>
      </w:pPr>
      <w:r>
        <w:rPr>
          <w:rFonts w:ascii="Times New Roman;serif" w:hAnsi="Times New Roman;serif"/>
          <w:b w:val="false"/>
          <w:color w:val="000000"/>
          <w:sz w:val="20"/>
        </w:rPr>
        <w:t xml:space="preserve">Same day available liquidity </w:t>
      </w:r>
      <w:r>
        <w:rPr>
          <w:rFonts w:ascii="Times New Roman;serif" w:hAnsi="Times New Roman;serif"/>
          <w:b w:val="false"/>
          <w:color w:val="000000"/>
          <w:sz w:val="20"/>
          <w:shd w:fill="FFFFFF" w:val="clear"/>
        </w:rPr>
        <w:t>inc</w:t>
      </w:r>
      <w:r>
        <w:rPr>
          <w:rFonts w:ascii="Times New Roman;serif" w:hAnsi="Times New Roman;serif"/>
          <w:b w:val="false"/>
          <w:color w:val="000000"/>
          <w:sz w:val="20"/>
        </w:rPr>
        <w:t>ludes cash, secured funding such as borrowing capacity at the Federal Home Loan Bank of Atlanta and the Federal Reserve, and unpledged securities. Additional sources of liquidity include cash flows from operations, wholesale deposits, cash flow from the Bank's amortizing securities and loan portfolios, repurchase agreements and the sale of investment securities. Management also has the ability to exert substantial control over the rate and timing of loan production, and resultant requirements for liquidity to fund new loans.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chart presents the components of same day available liquidity at March 31, 2026 and December 31, 2025 (in millions):</w:t>
      </w:r>
    </w:p>
    <w:tbl>
      <w:tblPr>
        <w:tblW w:w="2729" w:type="dxa"/>
        <w:jc w:val="left"/>
        <w:tblInd w:w="0" w:type="dxa"/>
        <w:tblLayout w:type="fixed"/>
        <w:tblCellMar>
          <w:top w:w="28" w:type="dxa"/>
          <w:left w:w="28" w:type="dxa"/>
          <w:bottom w:w="28" w:type="dxa"/>
          <w:right w:w="28" w:type="dxa"/>
        </w:tblCellMar>
      </w:tblPr>
      <w:tblGrid>
        <w:gridCol w:w="873"/>
        <w:gridCol w:w="768"/>
        <w:gridCol w:w="1088"/>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1ABE6"/>
                <w:sz w:val="20"/>
              </w:rPr>
            </w:pPr>
            <w:r>
              <w:rPr>
                <w:rFonts w:ascii="Times New Roman;serif" w:hAnsi="Times New Roman;serif"/>
                <w:b/>
                <w:color w:val="01ABE6"/>
                <w:sz w:val="20"/>
              </w:rPr>
              <w:t>Same Day Available Liquidity</w:t>
            </w:r>
          </w:p>
        </w:tc>
      </w:tr>
    </w:tbl>
    <w:p>
      <w:pPr>
        <w:pStyle w:val="TextBody"/>
        <w:bidi w:val="0"/>
        <w:spacing w:lineRule="auto" w:line="288" w:before="160" w:after="160"/>
        <w:ind w:left="0" w:right="0" w:firstLine="360"/>
        <w:jc w:val="left"/>
        <w:rPr/>
      </w:pPr>
      <w:r>
        <w:rPr/>
        <w:drawing>
          <wp:inline distT="0" distB="0" distL="0" distR="0">
            <wp:extent cx="4381500" cy="2286000"/>
            <wp:effectExtent l="0" t="0" r="0" b="0"/>
            <wp:docPr id="7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9" descr=""/>
                    <pic:cNvPicPr>
                      <a:picLocks noChangeAspect="1" noChangeArrowheads="1"/>
                    </pic:cNvPicPr>
                  </pic:nvPicPr>
                  <pic:blipFill>
                    <a:blip r:embed="rId20"/>
                    <a:stretch>
                      <a:fillRect/>
                    </a:stretch>
                  </pic:blipFill>
                  <pic:spPr bwMode="auto">
                    <a:xfrm>
                      <a:off x="0" y="0"/>
                      <a:ext cx="4381500" cy="2286000"/>
                    </a:xfrm>
                    <a:prstGeom prst="rect">
                      <a:avLst/>
                    </a:prstGeom>
                  </pic:spPr>
                </pic:pic>
              </a:graphicData>
            </a:graphic>
          </wp:inline>
        </w:drawing>
      </w:r>
      <w:bookmarkStart w:id="18" w:name="i-19"/>
      <w:bookmarkEnd w:id="18"/>
      <w:r>
        <w:rPr>
          <w:color w:val="000000"/>
        </w:rPr>
        <w:t>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At March 31, 2026, the ratio of estimated insured and collateralized deposits to total deposits was 57% and the ratio of available liquidity to estimated uninsured, uncollateralized deposits was 136%. As a commercially focused bank, due to the inherent nature of commercial deposits and the fact that deposit insurance is designed primarily to protect consumers, a significant portion of our deposits are uninsured.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48285"/>
                <wp:effectExtent l="0" t="0" r="0" b="0"/>
                <wp:wrapNone/>
                <wp:docPr id="76" name="Frame5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160" w:after="160"/>
        <w:ind w:left="0" w:right="0" w:firstLine="360"/>
        <w:jc w:val="left"/>
        <w:rPr/>
      </w:pPr>
      <w:r>
        <w:rPr/>
      </w:r>
    </w:p>
    <w:p>
      <w:pPr>
        <w:pStyle w:val="TextBody"/>
        <w:bidi w:val="0"/>
        <w:spacing w:lineRule="auto" w:line="288" w:before="24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ALM policy establishes limits or operating risk thresholds for a number of measures of liquidity which are monitored at least monthly by the ALCO and quarterly by the Board of Directors. Some of the measures currently used to dimension liquidity risk and manage liquidity are a wholesale funding ratio, the ratio of available liquidity to uninsured/non-collateralized deposits, the ratio of available operational liquidity (which excludes availability at the FRB) to volatile liabilities, a liquidity stress test coverage ratio, the loan to deposit ratio, a one-year liquidity ratio, a measure of available on-balance sheet liquidity, the ratio of brokered deposits to total deposits and large depositor concentrations. We also have single depositor relationship limits. Our liquidity management framework incorporates a robust contingency funding plan and liquidity stress testing framework.</w:t>
      </w:r>
    </w:p>
    <w:p>
      <w:pPr>
        <w:pStyle w:val="TextBody"/>
        <w:bidi w:val="0"/>
        <w:spacing w:lineRule="auto" w:line="288" w:before="24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some of the Company's liquidity measures, where applicable, their related policy limits and operating risk thresholds at the dates indicated:</w:t>
      </w:r>
    </w:p>
    <w:tbl>
      <w:tblPr>
        <w:tblW w:w="5665" w:type="dxa"/>
        <w:jc w:val="left"/>
        <w:tblInd w:w="0" w:type="dxa"/>
        <w:tblLayout w:type="fixed"/>
        <w:tblCellMar>
          <w:top w:w="28" w:type="dxa"/>
          <w:left w:w="28" w:type="dxa"/>
          <w:bottom w:w="28" w:type="dxa"/>
          <w:right w:w="28" w:type="dxa"/>
        </w:tblCellMar>
      </w:tblPr>
      <w:tblGrid>
        <w:gridCol w:w="944"/>
        <w:gridCol w:w="831"/>
        <w:gridCol w:w="834"/>
        <w:gridCol w:w="109"/>
        <w:gridCol w:w="419"/>
        <w:gridCol w:w="419"/>
        <w:gridCol w:w="421"/>
        <w:gridCol w:w="109"/>
        <w:gridCol w:w="109"/>
        <w:gridCol w:w="109"/>
        <w:gridCol w:w="109"/>
        <w:gridCol w:w="109"/>
        <w:gridCol w:w="329"/>
        <w:gridCol w:w="329"/>
        <w:gridCol w:w="331"/>
        <w:gridCol w:w="154"/>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Policy Limit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Wholesale funding/total assets</w:t>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&lt;37.5%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056" w:type="dxa"/>
            <w:gridSpan w:val="13"/>
            <w:tcBorders/>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056" w:type="dxa"/>
            <w:gridSpan w:val="13"/>
            <w:tcBorders/>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056" w:type="dxa"/>
            <w:gridSpan w:val="13"/>
            <w:tcBorders/>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056" w:type="dxa"/>
            <w:gridSpan w:val="13"/>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75"/>
        <w:gridCol w:w="2001"/>
        <w:gridCol w:w="2014"/>
        <w:gridCol w:w="109"/>
        <w:gridCol w:w="109"/>
        <w:gridCol w:w="109"/>
        <w:gridCol w:w="109"/>
        <w:gridCol w:w="382"/>
        <w:gridCol w:w="382"/>
        <w:gridCol w:w="383"/>
        <w:gridCol w:w="109"/>
        <w:gridCol w:w="109"/>
        <w:gridCol w:w="109"/>
        <w:gridCol w:w="109"/>
        <w:gridCol w:w="109"/>
        <w:gridCol w:w="509"/>
        <w:gridCol w:w="509"/>
        <w:gridCol w:w="511"/>
        <w:gridCol w:w="158"/>
      </w:tblGrid>
      <w:tr>
        <w:trPr/>
        <w:tc>
          <w:tcPr>
            <w:tcW w:w="2375"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Operating Threshold </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 operational liquidity/volatile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2.65x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20"/>
              </w:rPr>
              <w:t>1.30x</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Liquidity stress test coverage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2.72x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20"/>
              </w:rPr>
              <w:t>1.50x</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One year liquidity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2.86x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20"/>
              </w:rPr>
              <w:t>1.00x</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 to deposit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20"/>
              </w:rPr>
              <w:t>100%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Top 20 uninsured depositors to total deposits (excluding brokered &amp; municipal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20"/>
              </w:rPr>
              <w:t>15%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 on-balance sheet liquidity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20"/>
              </w:rPr>
              <w:t>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 liquidity to uninsured/non-collateralized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20"/>
              </w:rPr>
              <w:t>100%</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holding company, BankUnited, Inc. is a corporation separate and apart from its banking subsidiary, and therefore, provides for its own liquidity. BankUnited, Inc.’s main sources of funds include management fees and dividends from the Bank and access to capital markets. There are regulatory limitations that may affect the ability of the Bank to pay dividends to BankUnited, Inc. Management believes that such limitations will not impact our ability to meet our ongoing cash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Capital</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FDIA, the federal banking agencies have adopted regulations setting forth a five-tier system for measuring the capital adequacy of the financial institutions they supervise. At March 31, 2026 and December 31, 2025, the Company and the Bank had capital levels that exceeded both the regulatory well-capitalized guidelines and all internal capital ratio targets.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an active shelf registration statement on file with the SEC that allows the Company to periodically offer and sell in one or more offerings, individually or in any combination, our common stock, preferred stock and other non-equity securities. The shelf registration provides us with flexibility in issuing capital instruments and enables us to more readily access the capital markets as needed to pursue future growth opportunities and to ensure continued compliance with regulatory capital requirements. Our ability to issue securities pursuant to the shelf registration is subject to market conditions.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regulatory capital for the Company and the Bank as of March 31, 2026 (dollars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48285"/>
                <wp:effectExtent l="0" t="0" r="0" b="0"/>
                <wp:wrapNone/>
                <wp:docPr id="77" name="Frame5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160" w:after="160"/>
        <w:ind w:left="0" w:right="0" w:firstLine="360"/>
        <w:jc w:val="left"/>
        <w:rPr/>
      </w:pPr>
      <w:r>
        <w:rPr/>
      </w:r>
    </w:p>
    <w:tbl>
      <w:tblPr>
        <w:tblW w:w="11715" w:type="dxa"/>
        <w:jc w:val="left"/>
        <w:tblInd w:w="0" w:type="dxa"/>
        <w:tblLayout w:type="fixed"/>
        <w:tblCellMar>
          <w:top w:w="28" w:type="dxa"/>
          <w:left w:w="28" w:type="dxa"/>
          <w:bottom w:w="28" w:type="dxa"/>
          <w:right w:w="28" w:type="dxa"/>
        </w:tblCellMar>
      </w:tblPr>
      <w:tblGrid>
        <w:gridCol w:w="527"/>
        <w:gridCol w:w="464"/>
        <w:gridCol w:w="465"/>
        <w:gridCol w:w="196"/>
        <w:gridCol w:w="871"/>
        <w:gridCol w:w="109"/>
        <w:gridCol w:w="109"/>
        <w:gridCol w:w="109"/>
        <w:gridCol w:w="109"/>
        <w:gridCol w:w="278"/>
        <w:gridCol w:w="278"/>
        <w:gridCol w:w="277"/>
        <w:gridCol w:w="109"/>
        <w:gridCol w:w="109"/>
        <w:gridCol w:w="109"/>
        <w:gridCol w:w="196"/>
        <w:gridCol w:w="871"/>
        <w:gridCol w:w="109"/>
        <w:gridCol w:w="109"/>
        <w:gridCol w:w="109"/>
        <w:gridCol w:w="109"/>
        <w:gridCol w:w="278"/>
        <w:gridCol w:w="278"/>
        <w:gridCol w:w="277"/>
        <w:gridCol w:w="109"/>
        <w:gridCol w:w="109"/>
        <w:gridCol w:w="109"/>
        <w:gridCol w:w="196"/>
        <w:gridCol w:w="871"/>
        <w:gridCol w:w="109"/>
        <w:gridCol w:w="109"/>
        <w:gridCol w:w="109"/>
        <w:gridCol w:w="109"/>
        <w:gridCol w:w="233"/>
        <w:gridCol w:w="233"/>
        <w:gridCol w:w="277"/>
        <w:gridCol w:w="109"/>
        <w:gridCol w:w="109"/>
        <w:gridCol w:w="109"/>
        <w:gridCol w:w="196"/>
        <w:gridCol w:w="871"/>
        <w:gridCol w:w="109"/>
        <w:gridCol w:w="109"/>
        <w:gridCol w:w="109"/>
        <w:gridCol w:w="109"/>
        <w:gridCol w:w="317"/>
        <w:gridCol w:w="239"/>
        <w:gridCol w:w="301"/>
      </w:tblGrid>
      <w:tr>
        <w:trPr/>
        <w:tc>
          <w:tcPr>
            <w:tcW w:w="52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083" w:type="dxa"/>
            <w:gridSpan w:val="42"/>
            <w:tcBorders/>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Required to be</w:t>
              <w:br/>
              <w:t>Considered Well</w:t>
              <w:br/>
              <w:t>Capitalized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Required to be</w:t>
              <w:br/>
              <w:t>Considered</w:t>
              <w:br/>
              <w:t>Adequately</w:t>
              <w:br/>
              <w:t>Capitalized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Required to be Considered</w:t>
              <w:br/>
              <w:t>Adequately</w:t>
              <w:br/>
              <w:t>Capitalized Including Capital Conservation Buffer</w:t>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BankUnited, Inc.:</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leverage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N/A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N/A</w:t>
            </w:r>
            <w:r>
              <w:rPr>
                <w:color w:val="000000"/>
              </w:rPr>
              <w:t xml:space="preserv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N/A</w:t>
            </w:r>
            <w:r>
              <w:rPr>
                <w:color w:val="000000"/>
              </w:rPr>
              <w:t xml:space="preserv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N/A</w:t>
            </w:r>
            <w:r>
              <w:rPr>
                <w:color w:val="000000"/>
              </w:rPr>
              <w:t xml:space="preserve"> </w:t>
            </w:r>
            <w:r>
              <w:rPr>
                <w:rFonts w:ascii="Times New Roman;serif" w:hAnsi="Times New Roman;serif"/>
                <w:b w:val="false"/>
                <w:color w:val="000000"/>
                <w:sz w:val="12"/>
              </w:rPr>
              <w:t>(1)</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CET1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risk-based capital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BankUnited:</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leverage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CET1 risk-based capital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risk-based capital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(1)There is no Tier 1 leverage ratio component in the definition of a well-capitalized bank holding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principal component of the Company’s risk of loss arising from adverse changes in the fair value of financial instruments, or market risk, is interest rate risk, including the risk that assets and liabilities with similar re-pricing characteristics may not reprice at the same time or to the same degree. A primary objective of the Company’s asset/liability management activities is to maximize net interest income, while maintaining acceptable levels of interest rate risk. The ALCO is responsible for establishing policies to manage exposure to interest rate risk, and to ensure procedures are established to monitor compliance with these policies. The policies established by the ALCO are approved at least annually by the Board of Directors and its Risk Committee. The Board of Directors or its Risk Committee monitor compliance with these policies at least quarterly.</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simulation of net interest income in different interest rate environments provides the most meaningful measure of interest rate risk. Income simulation analysis is designed to capture not only the potential of all assets and liabilities to mature or reprice, but also the probability that they will do so. Income simulation also attends to the relative interest rate sensitivities of these items, and projects their behavior over an extended period of time. Finally, income simulation permits management to assess the probable effects on the balance sheet not only of changes in interest rates, but also of proposed strategies for responding to them. Simulation of changes in EVE in various interest rate environments is also a meaningful measure of interest rate risk.</w:t>
      </w:r>
    </w:p>
    <w:p>
      <w:pPr>
        <w:pStyle w:val="TextBody"/>
        <w:bidi w:val="0"/>
        <w:spacing w:lineRule="auto" w:line="288" w:before="16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Net Interest Income Simulation</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income simulation model analyzes interest rate sensitivity by projecting net interest income over 12- and 24-month periods in a most likely rate scenario based on a consensus forward curve versus net interest income in alternative rate scenarios. Management continually reviews and refines its interest rate risk management processes in response to changes in the interest rate environment, the economic climate and observed customer behavior. Currently, our interest rate risk management framework is based on modeling instantaneous rate shocks to a static balance sheet, assuming that maturing instruments are replaced with like instruments at forward rates, of plus and minus 100, 200, 300 and 400 basis point parallel shifts. In lower interest rate environments, we may not model more extreme declining rate scenarios and in certain macro-environments, we may model shocks of more than 400 basis points. Our ALM policy has established limits for the plus and minus 100 and 200 basis points shock scenarios. We also model a variety of dynamic balance sheet scenarios, various yield curve slopes, non-parallel shifts and alternative depositor behavior, beta and decay assumptions. We continually evaluate the scenarios being modeled with a view toward adapting them to changing economic conditions, expectations and trends.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48285"/>
                <wp:effectExtent l="0" t="0" r="0" b="0"/>
                <wp:wrapNone/>
                <wp:docPr id="78" name="Frame5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impact on forecasted net interest income compared to a "most likely" scenario, based on the consensus forward curve, in static balance sheet, parallel rate shock scenarios of plus and minus 100 and 200 basis points at the dates indicated:</w:t>
      </w:r>
    </w:p>
    <w:tbl>
      <w:tblPr>
        <w:tblW w:w="10025" w:type="dxa"/>
        <w:jc w:val="left"/>
        <w:tblInd w:w="0" w:type="dxa"/>
        <w:tblLayout w:type="fixed"/>
        <w:tblCellMar>
          <w:top w:w="28" w:type="dxa"/>
          <w:left w:w="28" w:type="dxa"/>
          <w:bottom w:w="28" w:type="dxa"/>
          <w:right w:w="28" w:type="dxa"/>
        </w:tblCellMar>
      </w:tblPr>
      <w:tblGrid>
        <w:gridCol w:w="1735"/>
        <w:gridCol w:w="1517"/>
        <w:gridCol w:w="1532"/>
        <w:gridCol w:w="109"/>
        <w:gridCol w:w="109"/>
        <w:gridCol w:w="240"/>
        <w:gridCol w:w="240"/>
        <w:gridCol w:w="466"/>
        <w:gridCol w:w="109"/>
        <w:gridCol w:w="109"/>
        <w:gridCol w:w="109"/>
        <w:gridCol w:w="256"/>
        <w:gridCol w:w="224"/>
        <w:gridCol w:w="466"/>
        <w:gridCol w:w="109"/>
        <w:gridCol w:w="109"/>
        <w:gridCol w:w="109"/>
        <w:gridCol w:w="249"/>
        <w:gridCol w:w="186"/>
        <w:gridCol w:w="399"/>
        <w:gridCol w:w="109"/>
        <w:gridCol w:w="109"/>
        <w:gridCol w:w="109"/>
        <w:gridCol w:w="218"/>
        <w:gridCol w:w="218"/>
        <w:gridCol w:w="399"/>
        <w:gridCol w:w="109"/>
        <w:gridCol w:w="109"/>
        <w:gridCol w:w="109"/>
        <w:gridCol w:w="154"/>
      </w:tblGrid>
      <w:tr>
        <w:trPr/>
        <w:tc>
          <w:tcPr>
            <w:tcW w:w="1735"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Down 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Down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Plus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Plus 200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Policy Limits: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year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year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Model Results at March 31, 2026 - 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year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year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Model Results at December 31, 2025 - 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year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year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EVE Simulation</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the modeled change in EVE in the indicated scenarios at the dates indicated:</w:t>
      </w:r>
    </w:p>
    <w:tbl>
      <w:tblPr>
        <w:tblW w:w="10205" w:type="dxa"/>
        <w:jc w:val="center"/>
        <w:tblInd w:w="0" w:type="dxa"/>
        <w:tblLayout w:type="fixed"/>
        <w:tblCellMar>
          <w:top w:w="28" w:type="dxa"/>
          <w:left w:w="28" w:type="dxa"/>
          <w:bottom w:w="28" w:type="dxa"/>
          <w:right w:w="28" w:type="dxa"/>
        </w:tblCellMar>
      </w:tblPr>
      <w:tblGrid>
        <w:gridCol w:w="1665"/>
        <w:gridCol w:w="1426"/>
        <w:gridCol w:w="1433"/>
        <w:gridCol w:w="109"/>
        <w:gridCol w:w="109"/>
        <w:gridCol w:w="290"/>
        <w:gridCol w:w="290"/>
        <w:gridCol w:w="450"/>
        <w:gridCol w:w="109"/>
        <w:gridCol w:w="109"/>
        <w:gridCol w:w="109"/>
        <w:gridCol w:w="290"/>
        <w:gridCol w:w="290"/>
        <w:gridCol w:w="450"/>
        <w:gridCol w:w="109"/>
        <w:gridCol w:w="109"/>
        <w:gridCol w:w="109"/>
        <w:gridCol w:w="290"/>
        <w:gridCol w:w="290"/>
        <w:gridCol w:w="387"/>
        <w:gridCol w:w="109"/>
        <w:gridCol w:w="109"/>
        <w:gridCol w:w="109"/>
        <w:gridCol w:w="290"/>
        <w:gridCol w:w="290"/>
        <w:gridCol w:w="387"/>
        <w:gridCol w:w="109"/>
        <w:gridCol w:w="109"/>
        <w:gridCol w:w="109"/>
        <w:gridCol w:w="161"/>
      </w:tblGrid>
      <w:tr>
        <w:trPr/>
        <w:tc>
          <w:tcPr>
            <w:tcW w:w="166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Down 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Down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Plus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Plus 200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Policy Limits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Model Results at March 31, 2026 - 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Model Results at December 31, 2025 - 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modeled results at March 31, 2026 are within ALM policy limits.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uses many assumptions in estimating the impact of changes in interest rates on forecasted net interest income and EVE. Actual results may not be similar to the Company's projections due to many factors including but not limited to the timing and frequency of market rate changes, market conditions, unanticipated changes in depositor behavior and loan prepayment speeds, the shape of the yield curve, changes in balance sheet composition and the Company's actions in response to changing external and balance sheet dynamics. Some of the more significant assumptions used by the Company in estimating the impact of changes in interest rates on forecasted net interest income and EVE at March 31, 2026 were:</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Prepayment speeds for loans, with CPRs ranging from 7.45% to 16.31% depending on loan characteristics and the magnitude of the modeled rate shock;</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Prepayment speeds for investment securities, with CPRs ranging from 4.24% to 12.87% depending on individual security collateral and characteristics and the magnitude of the modeled rate shock;</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Deposit decay rates ranging between 9.73% and 13.7%, depending on the magnitude of the modeled rate shock; and</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Overall non-maturity interest bearing deposit beta of 80%.</w:t>
      </w:r>
    </w:p>
    <w:p>
      <w:pPr>
        <w:pStyle w:val="TextBody"/>
        <w:bidi w:val="0"/>
        <w:spacing w:lineRule="auto" w:line="288" w:before="240" w:after="160"/>
        <w:jc w:val="left"/>
        <w:rPr>
          <w:rFonts w:ascii="Times New Roman;serif" w:hAnsi="Times New Roman;serif"/>
          <w:b/>
          <w:i/>
          <w:color w:val="000000"/>
          <w:sz w:val="20"/>
        </w:rPr>
      </w:pPr>
      <w:r>
        <w:rPr>
          <w:rFonts w:ascii="Times New Roman;serif" w:hAnsi="Times New Roman;serif"/>
          <w:b/>
          <w:i/>
          <w:color w:val="000000"/>
          <w:sz w:val="20"/>
        </w:rPr>
        <w:t>Derivative Financial Instruments and Hedging Activities</w:t>
      </w:r>
    </w:p>
    <w:p>
      <w:pPr>
        <w:pStyle w:val="TextBody"/>
        <w:bidi w:val="0"/>
        <w:spacing w:lineRule="auto" w:line="288" w:before="24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continually evaluates a variety of hedging strategies that are available to manage interest rate risk.</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Interest rate derivatives designated as cash flow or fair value hedging instruments are tools we may use to manage interest rate risk. These derivative instruments are used to mitigate exposure to changes in interest cash flows or the fair value of financial instruments caused by fluctuations in benchmark interest rates, as well as to manage duration of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48285"/>
                <wp:effectExtent l="0" t="0" r="0" b="0"/>
                <wp:wrapNone/>
                <wp:docPr id="79" name="Frame6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the Company's derivatives designated as cash flow hedges as of March 31, 2026 (dollars in thousands):</w:t>
      </w:r>
    </w:p>
    <w:tbl>
      <w:tblPr>
        <w:tblW w:w="10205" w:type="dxa"/>
        <w:jc w:val="left"/>
        <w:tblInd w:w="0" w:type="dxa"/>
        <w:tblLayout w:type="fixed"/>
        <w:tblCellMar>
          <w:top w:w="28" w:type="dxa"/>
          <w:left w:w="28" w:type="dxa"/>
          <w:bottom w:w="28" w:type="dxa"/>
          <w:right w:w="28" w:type="dxa"/>
        </w:tblCellMar>
      </w:tblPr>
      <w:tblGrid>
        <w:gridCol w:w="722"/>
        <w:gridCol w:w="517"/>
        <w:gridCol w:w="521"/>
        <w:gridCol w:w="683"/>
        <w:gridCol w:w="683"/>
        <w:gridCol w:w="686"/>
        <w:gridCol w:w="109"/>
        <w:gridCol w:w="109"/>
        <w:gridCol w:w="109"/>
        <w:gridCol w:w="205"/>
        <w:gridCol w:w="914"/>
        <w:gridCol w:w="114"/>
        <w:gridCol w:w="109"/>
        <w:gridCol w:w="109"/>
        <w:gridCol w:w="109"/>
        <w:gridCol w:w="434"/>
        <w:gridCol w:w="434"/>
        <w:gridCol w:w="436"/>
        <w:gridCol w:w="109"/>
        <w:gridCol w:w="109"/>
        <w:gridCol w:w="109"/>
        <w:gridCol w:w="521"/>
        <w:gridCol w:w="521"/>
        <w:gridCol w:w="522"/>
        <w:gridCol w:w="109"/>
        <w:gridCol w:w="109"/>
        <w:gridCol w:w="109"/>
        <w:gridCol w:w="285"/>
        <w:gridCol w:w="285"/>
        <w:gridCol w:w="414"/>
      </w:tblGrid>
      <w:tr>
        <w:trPr/>
        <w:tc>
          <w:tcPr>
            <w:tcW w:w="72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Pay Rate / Strike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Receive Rate / Strike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Life in Years</w:t>
            </w:r>
          </w:p>
        </w:tc>
      </w:tr>
      <w:tr>
        <w:trPr/>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Hedged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2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Pay-fixed interest rate swaps</w:t>
            </w:r>
          </w:p>
        </w:tc>
        <w:tc>
          <w:tcPr>
            <w:tcW w:w="2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Variability of interest cash flows on variable rate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705,000 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Daily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0.9</w:t>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2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Pay-variable interest rate swaps</w:t>
            </w:r>
          </w:p>
        </w:tc>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Variability of interest cash flows on variable rate loans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Term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w:t>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Forward starting pay-variable interest rate swaps</w:t>
            </w:r>
          </w:p>
        </w:tc>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Variability of interest cash flows on variable rate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Term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2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Interest rate collar, indexed to 1-month SOFR</w:t>
            </w:r>
          </w:p>
        </w:tc>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Variability of interest cash flows on variable rate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w:t>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2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2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3,930,000 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4"/>
        <w:gridCol w:w="502"/>
        <w:gridCol w:w="504"/>
        <w:gridCol w:w="360"/>
        <w:gridCol w:w="1602"/>
        <w:gridCol w:w="200"/>
        <w:gridCol w:w="200"/>
        <w:gridCol w:w="200"/>
        <w:gridCol w:w="200"/>
        <w:gridCol w:w="364"/>
        <w:gridCol w:w="363"/>
        <w:gridCol w:w="632"/>
        <w:gridCol w:w="109"/>
        <w:gridCol w:w="109"/>
        <w:gridCol w:w="109"/>
        <w:gridCol w:w="391"/>
        <w:gridCol w:w="1468"/>
        <w:gridCol w:w="217"/>
        <w:gridCol w:w="217"/>
        <w:gridCol w:w="217"/>
        <w:gridCol w:w="217"/>
        <w:gridCol w:w="362"/>
        <w:gridCol w:w="332"/>
        <w:gridCol w:w="716"/>
      </w:tblGrid>
      <w:tr>
        <w:trPr/>
        <w:tc>
          <w:tcPr>
            <w:tcW w:w="61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Variability of Interest Payment Cash Flows on Variable Rate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Variability of Interest Payment Cash Flows on Variable Rate Liabilities</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Notional Amount</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 Average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Rate</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hedges maturing in:</w:t>
            </w:r>
          </w:p>
        </w:tc>
        <w:tc>
          <w:tcPr>
            <w:tcW w:w="2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Second quarter 2026</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 quarter 2026</w:t>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Fourth quarter 2026</w:t>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3,225,000 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705,000 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short duration of our AFS investment portfolio (1.92 at March 31, 2026) also provides a natural offset from an interest rate risk perspective to the longer duration of the residential mortgage portfolio.</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6 to the consolidated financial statements for additional information about derivative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48285"/>
                <wp:effectExtent l="0" t="0" r="0" b="0"/>
                <wp:wrapNone/>
                <wp:docPr id="80" name="Frame6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160" w:after="160"/>
        <w:ind w:left="0" w:right="0" w:firstLine="360"/>
        <w:jc w:val="left"/>
        <w:rPr/>
      </w:pPr>
      <w:r>
        <w:rPr/>
      </w: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Tangible book value per common share is a non-GAAP financial measure. Management believes this measure is relevant to understanding the capital position and performance of the Company. Disclosure of this non-GAAP financial measure also provides a meaningful basis for comparison to other financial institutions as it is a metric commonly used in the banking industry.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PPNR is a non-GAAP financial measure. Management believes this measure is relevant to understanding the performance of the Company attributable to elements other than the provision for credit losses and the ability of the Company to generate earnings sufficient to cover estimated credit losses. This measure also provides a meaningful basis for comparison to other financial institutions since it is commonly employed and is a measure frequently cited by investors and analysts.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reconcile the non-GAAP financial measurement to the comparable GAAP financial measurements at the dates and for the periods indicated (in thousands except share and per share data): </w:t>
      </w:r>
    </w:p>
    <w:tbl>
      <w:tblPr>
        <w:tblW w:w="8436" w:type="dxa"/>
        <w:jc w:val="left"/>
        <w:tblInd w:w="0" w:type="dxa"/>
        <w:tblLayout w:type="fixed"/>
        <w:tblCellMar>
          <w:top w:w="28" w:type="dxa"/>
          <w:left w:w="28" w:type="dxa"/>
          <w:bottom w:w="28" w:type="dxa"/>
          <w:right w:w="28" w:type="dxa"/>
        </w:tblCellMar>
      </w:tblPr>
      <w:tblGrid>
        <w:gridCol w:w="1275"/>
        <w:gridCol w:w="1122"/>
        <w:gridCol w:w="1127"/>
        <w:gridCol w:w="211"/>
        <w:gridCol w:w="976"/>
        <w:gridCol w:w="109"/>
        <w:gridCol w:w="109"/>
        <w:gridCol w:w="109"/>
        <w:gridCol w:w="109"/>
        <w:gridCol w:w="109"/>
        <w:gridCol w:w="109"/>
        <w:gridCol w:w="244"/>
        <w:gridCol w:w="1130"/>
        <w:gridCol w:w="126"/>
        <w:gridCol w:w="109"/>
        <w:gridCol w:w="109"/>
        <w:gridCol w:w="109"/>
        <w:gridCol w:w="109"/>
        <w:gridCol w:w="109"/>
        <w:gridCol w:w="109"/>
        <w:gridCol w:w="109"/>
        <w:gridCol w:w="109"/>
        <w:gridCol w:w="109"/>
        <w:gridCol w:w="109"/>
        <w:gridCol w:w="109"/>
        <w:gridCol w:w="109"/>
        <w:gridCol w:w="109"/>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3,053,829 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goodwill and other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stockholders’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2,976,192 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and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73,354,206 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74,138,066 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book value per common share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40.14 </w:t>
            </w:r>
          </w:p>
        </w:tc>
        <w:tc>
          <w:tcPr>
            <w:tcW w:w="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206" w:type="dxa"/>
        <w:jc w:val="left"/>
        <w:tblInd w:w="0" w:type="dxa"/>
        <w:tblLayout w:type="fixed"/>
        <w:tblCellMar>
          <w:top w:w="28" w:type="dxa"/>
          <w:left w:w="28" w:type="dxa"/>
          <w:bottom w:w="28" w:type="dxa"/>
          <w:right w:w="28" w:type="dxa"/>
        </w:tblCellMar>
      </w:tblPr>
      <w:tblGrid>
        <w:gridCol w:w="863"/>
        <w:gridCol w:w="757"/>
        <w:gridCol w:w="764"/>
        <w:gridCol w:w="109"/>
        <w:gridCol w:w="109"/>
        <w:gridCol w:w="534"/>
        <w:gridCol w:w="534"/>
        <w:gridCol w:w="536"/>
        <w:gridCol w:w="109"/>
        <w:gridCol w:w="232"/>
        <w:gridCol w:w="908"/>
        <w:gridCol w:w="119"/>
        <w:gridCol w:w="109"/>
        <w:gridCol w:w="109"/>
        <w:gridCol w:w="109"/>
        <w:gridCol w:w="253"/>
        <w:gridCol w:w="867"/>
        <w:gridCol w:w="185"/>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000" w:type="dxa"/>
            <w:gridSpan w:val="10"/>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81,738 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PPNR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106,324 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48285"/>
                <wp:effectExtent l="0" t="0" r="0" b="0"/>
                <wp:wrapNone/>
                <wp:docPr id="81" name="Frame6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160" w:after="160"/>
        <w:ind w:left="0" w:right="0" w:firstLine="360"/>
        <w:jc w:val="left"/>
        <w:rPr/>
      </w:pPr>
      <w:r>
        <w:rPr/>
      </w: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the section entitled “Interest Rate Risk” included in 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Form 10-Q, we carried out an evaluation under the supervision and with the participation of our management, including the Chief Executive Officer and Chief Financial Officer, of the effectiveness of the design and operation of our disclosure controls and procedures as defined in Exchange Act Rules 13a-15(e) and 15d-15(e). Based upon that evaluation, the Chief Executive Officer and the Chief Financial Officer concluded that our disclosure controls and procedures were effective.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quarter ended March 31, 2026, there were no changes in the Company's internal control over financial reporting that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60" w:after="160"/>
        <w:ind w:left="0" w:right="0" w:firstLine="360"/>
        <w:jc w:val="left"/>
        <w:rPr>
          <w:color w:val="000000"/>
        </w:rPr>
      </w:pPr>
      <w:r>
        <w:rPr>
          <w:color w:val="000000"/>
        </w:rPr>
        <w:t> </w:t>
      </w:r>
      <w:r>
        <w:rPr>
          <w:rFonts w:ascii="Times New Roman;serif" w:hAnsi="Times New Roman;serif"/>
          <w:b w:val="false"/>
          <w:color w:val="000000"/>
          <w:sz w:val="20"/>
        </w:rPr>
        <w:t>The Company is involved as plaintiff or defendant in various legal actions arising in the normal course of business. In the opinion of management, based upon currently available information and the advice of legal counsel, the likelihood is remote that any adverse impact of these proceedings, either individually or in the aggregate, would be material to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risk factors disclosed by the Company in its 2025 Annual Report on Form 10-K filed with the Securities and Exchange Commission on 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6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tbl>
      <w:tblPr>
        <w:tblW w:w="10205" w:type="dxa"/>
        <w:jc w:val="left"/>
        <w:tblInd w:w="0" w:type="dxa"/>
        <w:tblLayout w:type="fixed"/>
        <w:tblCellMar>
          <w:top w:w="28" w:type="dxa"/>
          <w:left w:w="28" w:type="dxa"/>
          <w:bottom w:w="28" w:type="dxa"/>
          <w:right w:w="28" w:type="dxa"/>
        </w:tblCellMar>
      </w:tblPr>
      <w:tblGrid>
        <w:gridCol w:w="496"/>
        <w:gridCol w:w="372"/>
        <w:gridCol w:w="376"/>
        <w:gridCol w:w="109"/>
        <w:gridCol w:w="109"/>
        <w:gridCol w:w="109"/>
        <w:gridCol w:w="723"/>
        <w:gridCol w:w="397"/>
        <w:gridCol w:w="399"/>
        <w:gridCol w:w="109"/>
        <w:gridCol w:w="109"/>
        <w:gridCol w:w="109"/>
        <w:gridCol w:w="262"/>
        <w:gridCol w:w="765"/>
        <w:gridCol w:w="135"/>
        <w:gridCol w:w="109"/>
        <w:gridCol w:w="109"/>
        <w:gridCol w:w="109"/>
        <w:gridCol w:w="924"/>
        <w:gridCol w:w="606"/>
        <w:gridCol w:w="608"/>
        <w:gridCol w:w="109"/>
        <w:gridCol w:w="109"/>
        <w:gridCol w:w="109"/>
        <w:gridCol w:w="384"/>
        <w:gridCol w:w="2163"/>
        <w:gridCol w:w="287"/>
      </w:tblGrid>
      <w:tr>
        <w:trPr/>
        <w:tc>
          <w:tcPr>
            <w:tcW w:w="49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Issuer Purchases of Equity Securities</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Maximum number (or approximate dollar value) of shares that may yet be purchased under the plans or programs</w:t>
            </w:r>
            <w:r>
              <w:rPr>
                <w:rFonts w:ascii="Times New Roman;serif" w:hAnsi="Times New Roman;serif"/>
                <w:b/>
                <w:color w:val="000000"/>
                <w:sz w:val="10"/>
              </w:rPr>
              <w:t>(2)(3)</w:t>
            </w:r>
          </w:p>
        </w:tc>
      </w:tr>
      <w:tr>
        <w:trPr/>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155,023 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155,023 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248,334,082 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1 -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420,086 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420,086 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227,931,384 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1 -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715,215 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715,215 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195,928,066 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1,290,324 </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1,290,324 </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The total number of shares purchased during the periods indicated includes shares purchased as part of a publicly announced program.</w:t>
      </w:r>
    </w:p>
    <w:p>
      <w:pPr>
        <w:pStyle w:val="TextBody"/>
        <w:bidi w:val="0"/>
        <w:spacing w:lineRule="auto" w:line="288" w:before="60" w:after="1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On July 22, 2025, the Company's Board of Directors authorized the repurchase of up to $100 million in shares of its outstanding common stock. No time limit was set for the completion of the share repurchase program, and the program may be suspended or discontinued without prior notice at any time. The authorization does not require the Company to acquire any specified number of common shares.</w:t>
      </w:r>
    </w:p>
    <w:p>
      <w:pPr>
        <w:pStyle w:val="TextBody"/>
        <w:bidi w:val="0"/>
        <w:spacing w:lineRule="auto" w:line="288" w:before="60" w:after="1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 On January 20, 2026, the Company's Board of Directors authorized the repurchase of up to $200 million in shares of its outstanding common stock in addition to shares remaining available for purchase under the repurchase program approved on July 22, 2025. No time limit was set for the completion of the share repurchase program and the program may be suspended or discontinued without prior notice at any time. The authorization does not require the Company to acquire any specified number of common shares.</w:t>
      </w:r>
    </w:p>
    <w:p>
      <w:pPr>
        <w:pStyle w:val="TextBody"/>
        <w:bidi w:val="0"/>
        <w:spacing w:before="160" w:after="16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48285"/>
                <wp:effectExtent l="0" t="0" r="0" b="0"/>
                <wp:wrapNone/>
                <wp:docPr id="82" name="Frame6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20" w:after="16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 director or officer (as defined in Exchange Act Rule 16a-1(f)) of the Company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48285"/>
                <wp:effectExtent l="0" t="0" r="0" b="0"/>
                <wp:wrapNone/>
                <wp:docPr id="83" name="Frame6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74"/>
        <w:gridCol w:w="241"/>
        <w:gridCol w:w="243"/>
        <w:gridCol w:w="109"/>
        <w:gridCol w:w="109"/>
        <w:gridCol w:w="109"/>
        <w:gridCol w:w="2687"/>
        <w:gridCol w:w="2535"/>
        <w:gridCol w:w="2562"/>
        <w:gridCol w:w="109"/>
        <w:gridCol w:w="109"/>
        <w:gridCol w:w="109"/>
        <w:gridCol w:w="293"/>
        <w:gridCol w:w="293"/>
        <w:gridCol w:w="423"/>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r>
      <w:tr>
        <w:trPr/>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nalbankunited-singhfifth.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nalbankunited-singhfifth.htm">
              <w:r>
                <w:rPr>
                  <w:rStyle w:val="InternetLink"/>
                  <w:rFonts w:ascii="Times New Roman;serif" w:hAnsi="Times New Roman;serif"/>
                  <w:b w:val="false"/>
                  <w:color w:val="0000FF"/>
                  <w:sz w:val="20"/>
                  <w:u w:val="single"/>
                </w:rPr>
                <w:t>Fifth Amendment, dated April 8, 2026, to the Amended and Restated Employment Agreement, dated February 2, 2016, as amended on May 6, 2016, January 4, 2017, December 19, 2019, and May 2, 2023 by and between BankUnited, Inc. and Rajinder P. Singh</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nalbankunited-singhfifth.htm">
              <w:r>
                <w:rPr>
                  <w:rStyle w:val="InternetLink"/>
                  <w:rFonts w:ascii="Times New Roman;serif" w:hAnsi="Times New Roman;serif"/>
                  <w:b w:val="false"/>
                  <w:color w:val="0000FF"/>
                  <w:sz w:val="20"/>
                  <w:u w:val="single"/>
                </w:rPr>
                <w:t>Filed herewith</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331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331ex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331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331e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331e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331e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331ex322.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331e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this 7th day of May 2026.</w:t>
      </w:r>
    </w:p>
    <w:tbl>
      <w:tblPr>
        <w:tblW w:w="4437" w:type="dxa"/>
        <w:jc w:val="center"/>
        <w:tblInd w:w="0" w:type="dxa"/>
        <w:tblLayout w:type="fixed"/>
        <w:tblCellMar>
          <w:top w:w="28" w:type="dxa"/>
          <w:left w:w="28" w:type="dxa"/>
          <w:bottom w:w="28" w:type="dxa"/>
          <w:right w:w="28" w:type="dxa"/>
        </w:tblCellMar>
      </w:tblPr>
      <w:tblGrid>
        <w:gridCol w:w="124"/>
        <w:gridCol w:w="109"/>
        <w:gridCol w:w="109"/>
        <w:gridCol w:w="1194"/>
        <w:gridCol w:w="1194"/>
        <w:gridCol w:w="17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Rajinder P. Singh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Rajinder P. Singh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James G. Mackey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James G. Mackey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48285"/>
                <wp:effectExtent l="0" t="0" r="0" b="0"/>
                <wp:wrapNone/>
                <wp:docPr id="85" name="Frame6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FIFTH AMENDMENT TO EMPLOYMENT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THIS FIFTH AMENDMENT TO THE EMPLOYMENT AGREEMENT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dated as of the 8th day of April, 2026, by and between BankUnited,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Rajinder P. Singh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amends the Employment Agreement by and between the Company and Executive, dated as of February 2, 2016, as amended on May 6, 2016, January 4, 2017, December 19, 2019, and May 2, 2023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the Company has determined that it is necessary and advisable and in the best interests of the Company to make limited updates to the Agreement as set forth herein.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NOW, THEREFORE, the parties hereto agree as follows, effective from and after April 8, 2026:</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Section 6(c)(iii)(B) of the Agreement is hereby amended and restated as follows (for clarity, to replace the reference to “Target Annual Incentive” therein with “Average Annual Incentive”):</w:t>
      </w:r>
    </w:p>
    <w:p>
      <w:pPr>
        <w:pStyle w:val="TextBody"/>
        <w:bidi w:val="0"/>
        <w:spacing w:lineRule="auto" w:line="288" w:before="0" w:after="240"/>
        <w:jc w:val="left"/>
        <w:rPr/>
      </w:pPr>
      <w:r>
        <w:rPr>
          <w:color w:val="000000"/>
        </w:rPr>
        <w:t>“</w:t>
      </w:r>
      <w:r>
        <w:rPr>
          <w:rFonts w:ascii="Times New Roman;serif" w:hAnsi="Times New Roman;serif"/>
          <w:b w:val="false"/>
          <w:color w:val="000000"/>
          <w:sz w:val="24"/>
        </w:rPr>
        <w:t>(B) payment of an aggregate amount equal to two (2) times the sum of Executive’s (i) Base Salary and (ii) Average Annual Incentive, which aggregate amount shall be payable to Executive in a lump sum within 60 days following Executive’s termination of employment;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such termination of employment occurs on or following a Change in Control, this payment shall instead be in an aggregate amount equal to three (3) times the sum of (i) and (ii) above; and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for purposes of this Agreement, “</w:t>
      </w:r>
      <w:r>
        <w:rPr>
          <w:rFonts w:ascii="Times New Roman;serif" w:hAnsi="Times New Roman;serif"/>
          <w:b w:val="false"/>
          <w:color w:val="000000"/>
          <w:sz w:val="24"/>
          <w:u w:val="single"/>
        </w:rPr>
        <w:t>Average Annual Incentive</w:t>
      </w:r>
      <w:r>
        <w:rPr>
          <w:color w:val="000000"/>
        </w:rPr>
        <w:t xml:space="preserve">” </w:t>
      </w:r>
      <w:r>
        <w:rPr>
          <w:rFonts w:ascii="Times New Roman;serif" w:hAnsi="Times New Roman;serif"/>
          <w:b w:val="false"/>
          <w:color w:val="000000"/>
          <w:sz w:val="24"/>
        </w:rPr>
        <w:t>shall mean the average Annual Incentive paid to (or earned by) Executive during the three (3) fiscal years immediately preceding termination of Executive’s employment;”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Except as expressly modified hereby, the terms and provisions of the Agreement remain in full force and effect.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 this Page</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the parties hereto have duly executed this Amendment as of the day and year first above written. </w:t>
      </w:r>
    </w:p>
    <w:p>
      <w:pPr>
        <w:pStyle w:val="TextBody"/>
        <w:bidi w:val="0"/>
        <w:spacing w:lineRule="auto" w:line="288" w:before="0" w:after="480"/>
        <w:ind w:left="0" w:right="0" w:hanging="547"/>
        <w:jc w:val="left"/>
        <w:rPr>
          <w:rFonts w:ascii="Times New Roman;serif" w:hAnsi="Times New Roman;serif"/>
          <w:b w:val="false"/>
          <w:color w:val="000000"/>
          <w:sz w:val="24"/>
        </w:rPr>
      </w:pPr>
      <w:r>
        <w:rPr>
          <w:rFonts w:ascii="Times New Roman;serif" w:hAnsi="Times New Roman;serif"/>
          <w:b w:val="false"/>
          <w:color w:val="000000"/>
          <w:sz w:val="24"/>
        </w:rPr>
        <w:t>BANKUNITED, INC.</w:t>
      </w:r>
    </w:p>
    <w:p>
      <w:pPr>
        <w:pStyle w:val="TextBody"/>
        <w:bidi w:val="0"/>
        <w:spacing w:lineRule="auto" w:line="288" w:before="0" w:after="480"/>
        <w:ind w:left="0" w:right="0" w:hanging="547"/>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t>/s/ James Mackey    </w:t>
      </w:r>
      <w:r>
        <w:rPr>
          <w:rFonts w:ascii="Times New Roman;serif" w:hAnsi="Times New Roman;serif"/>
          <w:b w:val="false"/>
          <w:color w:val="000000"/>
          <w:sz w:val="24"/>
        </w:rPr>
        <w:br/>
        <w:t>Name:    James G. Mackey</w:t>
        <w:br/>
        <w:t>Title:    Chief Financial Officer</w:t>
      </w:r>
    </w:p>
    <w:p>
      <w:pPr>
        <w:pStyle w:val="TextBody"/>
        <w:bidi w:val="0"/>
        <w:spacing w:before="0" w:after="480"/>
        <w:ind w:left="0" w:right="0" w:hanging="547"/>
        <w:jc w:val="left"/>
        <w:rPr/>
      </w:pPr>
      <w:r>
        <w:rPr/>
      </w:r>
    </w:p>
    <w:p>
      <w:pPr>
        <w:pStyle w:val="TextBody"/>
        <w:bidi w:val="0"/>
        <w:spacing w:lineRule="auto" w:line="288" w:before="0" w:after="480"/>
        <w:ind w:left="0" w:right="0" w:hanging="547"/>
        <w:jc w:val="left"/>
        <w:rPr>
          <w:rFonts w:ascii="Times New Roman;serif" w:hAnsi="Times New Roman;serif"/>
          <w:b w:val="false"/>
          <w:color w:val="000000"/>
          <w:sz w:val="24"/>
        </w:rPr>
      </w:pPr>
      <w:r>
        <w:rPr>
          <w:rFonts w:ascii="Times New Roman;serif" w:hAnsi="Times New Roman;serif"/>
          <w:b w:val="false"/>
          <w:color w:val="000000"/>
          <w:sz w:val="24"/>
        </w:rPr>
        <w:t>EXECUTIVE</w:t>
      </w:r>
    </w:p>
    <w:p>
      <w:pPr>
        <w:pStyle w:val="TextBody"/>
        <w:bidi w:val="0"/>
        <w:spacing w:lineRule="auto" w:line="288" w:before="0" w:after="480"/>
        <w:ind w:left="0" w:right="0" w:hanging="547"/>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t>/s/ Rajinder Singh    </w:t>
      </w:r>
      <w:r>
        <w:rPr>
          <w:rFonts w:ascii="Times New Roman;serif" w:hAnsi="Times New Roman;serif"/>
          <w:b w:val="false"/>
          <w:color w:val="000000"/>
          <w:sz w:val="24"/>
        </w:rPr>
        <w:br/>
        <w:t>Name:    Rajinder P. Singh</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Employment Agreement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Employment Agreement Amendment]</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Rajinder P. Singh,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BankUnited, Inc.;</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3.</w:t>
      </w:r>
      <w:r>
        <w:rPr>
          <w:color w:val="000000"/>
        </w:rPr>
        <w:t>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4.</w:t>
      </w:r>
      <w:r>
        <w:rPr>
          <w:color w:val="000000"/>
        </w:rPr>
        <w:t>     </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5.</w:t>
      </w:r>
      <w:r>
        <w:rPr>
          <w:color w:val="000000"/>
        </w:rPr>
        <w:t>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tbl>
      <w:tblPr>
        <w:tblW w:w="4632" w:type="dxa"/>
        <w:jc w:val="left"/>
        <w:tblInd w:w="0" w:type="dxa"/>
        <w:tblLayout w:type="fixed"/>
        <w:tblCellMar>
          <w:top w:w="28" w:type="dxa"/>
          <w:left w:w="28" w:type="dxa"/>
          <w:bottom w:w="28" w:type="dxa"/>
          <w:right w:w="28" w:type="dxa"/>
        </w:tblCellMar>
      </w:tblPr>
      <w:tblGrid>
        <w:gridCol w:w="1538"/>
        <w:gridCol w:w="1354"/>
        <w:gridCol w:w="1368"/>
        <w:gridCol w:w="109"/>
        <w:gridCol w:w="109"/>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Rajinder P. Singh</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Rajinder P. Singh</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Chairman,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 May 7,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James G. Mackey,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BankUnited, Inc.;</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3.</w:t>
      </w:r>
      <w:r>
        <w:rPr>
          <w:color w:val="000000"/>
        </w:rPr>
        <w:t>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4.</w:t>
      </w:r>
      <w:r>
        <w:rPr>
          <w:color w:val="000000"/>
        </w:rPr>
        <w:t>     </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5.</w:t>
      </w:r>
      <w:r>
        <w:rPr>
          <w:color w:val="000000"/>
        </w:rPr>
        <w:t>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tbl>
      <w:tblPr>
        <w:tblW w:w="2441" w:type="dxa"/>
        <w:jc w:val="left"/>
        <w:tblInd w:w="0" w:type="dxa"/>
        <w:tblLayout w:type="fixed"/>
        <w:tblCellMar>
          <w:top w:w="28" w:type="dxa"/>
          <w:left w:w="28" w:type="dxa"/>
          <w:bottom w:w="28" w:type="dxa"/>
          <w:right w:w="28" w:type="dxa"/>
        </w:tblCellMar>
      </w:tblPr>
      <w:tblGrid>
        <w:gridCol w:w="750"/>
        <w:gridCol w:w="657"/>
        <w:gridCol w:w="662"/>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James G. Mackey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James G. Mackey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 May 7,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BankUnited, Inc. (the “Company”) on Form 10-Q for the quarter ended March 31, 2026, as filed with the Securities and Exchange Commission on the date hereof (the “Report”), I, Rajinder P. Singh, as Chief Executive Officer of the Company, certify, to the best of my knowledge, pursuant to 18 U.S.C. §1350, as adopted pursuant to Section 906 of the Sarbanes-Oxley Act of 2002, that: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as applicable, of the Securities Exchange Act of 1934;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ind w:left="0" w:right="0" w:firstLine="360"/>
        <w:jc w:val="left"/>
        <w:rPr>
          <w:color w:val="000000"/>
        </w:rPr>
      </w:pPr>
      <w:r>
        <w:rPr>
          <w:color w:val="000000"/>
        </w:rPr>
        <w:t> </w:t>
      </w:r>
    </w:p>
    <w:tbl>
      <w:tblPr>
        <w:tblW w:w="4632" w:type="dxa"/>
        <w:jc w:val="left"/>
        <w:tblInd w:w="0" w:type="dxa"/>
        <w:tblLayout w:type="fixed"/>
        <w:tblCellMar>
          <w:top w:w="28" w:type="dxa"/>
          <w:left w:w="28" w:type="dxa"/>
          <w:bottom w:w="28" w:type="dxa"/>
          <w:right w:w="28" w:type="dxa"/>
        </w:tblCellMar>
      </w:tblPr>
      <w:tblGrid>
        <w:gridCol w:w="1538"/>
        <w:gridCol w:w="1354"/>
        <w:gridCol w:w="1368"/>
        <w:gridCol w:w="109"/>
        <w:gridCol w:w="109"/>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Rajinder P. Singh</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Rajinder P. Singh</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Chairman,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left"/>
        <w:rPr/>
      </w:pPr>
      <w:r>
        <w:rPr>
          <w:rFonts w:ascii="Times New Roman;serif" w:hAnsi="Times New Roman;serif"/>
          <w:b/>
          <w:color w:val="000000"/>
          <w:sz w:val="20"/>
        </w:rPr>
        <w:t>Date: May 7, 2026</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BankUnited, Inc. (the “Company”) on Form 10-Q for the quarter ended March 31, 2026, as filed with the Securities and Exchange Commission on the date hereof (the “Report”), I, James G. Mackey, as Chief Financial Officer of the Company, certify, to the best of my knowledge, pursuant to 18 U.S.C. §1350, as adopted pursuant to Section 906 of the Sarbanes-Oxley Act of 2002, that: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as applicable, of the Securities Exchange Act of 1934;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ind w:left="0" w:right="0" w:firstLine="360"/>
        <w:jc w:val="left"/>
        <w:rPr>
          <w:color w:val="000000"/>
        </w:rPr>
      </w:pPr>
      <w:r>
        <w:rPr>
          <w:color w:val="000000"/>
        </w:rPr>
        <w:t> </w:t>
      </w:r>
    </w:p>
    <w:tbl>
      <w:tblPr>
        <w:tblW w:w="2441" w:type="dxa"/>
        <w:jc w:val="left"/>
        <w:tblInd w:w="0" w:type="dxa"/>
        <w:tblLayout w:type="fixed"/>
        <w:tblCellMar>
          <w:top w:w="28" w:type="dxa"/>
          <w:left w:w="28" w:type="dxa"/>
          <w:bottom w:w="28" w:type="dxa"/>
          <w:right w:w="28" w:type="dxa"/>
        </w:tblCellMar>
      </w:tblPr>
      <w:tblGrid>
        <w:gridCol w:w="750"/>
        <w:gridCol w:w="657"/>
        <w:gridCol w:w="662"/>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James G. Mackey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James G. Mackey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color w:val="000000"/>
          <w:sz w:val="20"/>
        </w:rPr>
        <w:t xml:space="preserve">Date: May 7, 2026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27356</Words>
  <Characters>152014</Characters>
  <CharactersWithSpaces>176403</CharactersWithSpaces>
  <Paragraphs>6570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