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60"/>
        <w:spacing w:after="0"/>
        <w:rPr>
          <w:sz w:val="20"/>
          <w:szCs w:val="20"/>
          <w:color w:val="auto"/>
        </w:rPr>
      </w:pPr>
      <w:r>
        <w:rPr>
          <w:rFonts w:ascii="Arial" w:cs="Arial" w:eastAsia="Arial" w:hAnsi="Arial"/>
          <w:sz w:val="30"/>
          <w:szCs w:val="30"/>
          <w:color w:val="auto"/>
        </w:rPr>
        <w:t>S</w:t>
      </w:r>
      <w:r>
        <w:rPr>
          <w:rFonts w:ascii="Arial" w:cs="Arial" w:eastAsia="Arial" w:hAnsi="Arial"/>
          <w:sz w:val="21"/>
          <w:szCs w:val="21"/>
          <w:color w:val="auto"/>
        </w:rPr>
        <w:t>KADDEN</w:t>
      </w:r>
      <w:r>
        <w:rPr>
          <w:rFonts w:ascii="Arial" w:cs="Arial" w:eastAsia="Arial" w:hAnsi="Arial"/>
          <w:sz w:val="30"/>
          <w:szCs w:val="30"/>
          <w:color w:val="auto"/>
        </w:rPr>
        <w:t>, A</w:t>
      </w:r>
      <w:r>
        <w:rPr>
          <w:rFonts w:ascii="Arial" w:cs="Arial" w:eastAsia="Arial" w:hAnsi="Arial"/>
          <w:sz w:val="21"/>
          <w:szCs w:val="21"/>
          <w:color w:val="auto"/>
        </w:rPr>
        <w:t>RPS</w:t>
      </w:r>
      <w:r>
        <w:rPr>
          <w:rFonts w:ascii="Arial" w:cs="Arial" w:eastAsia="Arial" w:hAnsi="Arial"/>
          <w:sz w:val="30"/>
          <w:szCs w:val="30"/>
          <w:color w:val="auto"/>
        </w:rPr>
        <w:t>, S</w:t>
      </w:r>
      <w:r>
        <w:rPr>
          <w:rFonts w:ascii="Arial" w:cs="Arial" w:eastAsia="Arial" w:hAnsi="Arial"/>
          <w:sz w:val="21"/>
          <w:szCs w:val="21"/>
          <w:color w:val="auto"/>
        </w:rPr>
        <w:t>LATE</w:t>
      </w:r>
      <w:r>
        <w:rPr>
          <w:rFonts w:ascii="Arial" w:cs="Arial" w:eastAsia="Arial" w:hAnsi="Arial"/>
          <w:sz w:val="30"/>
          <w:szCs w:val="30"/>
          <w:color w:val="auto"/>
        </w:rPr>
        <w:t>, M</w:t>
      </w:r>
      <w:r>
        <w:rPr>
          <w:rFonts w:ascii="Arial" w:cs="Arial" w:eastAsia="Arial" w:hAnsi="Arial"/>
          <w:sz w:val="21"/>
          <w:szCs w:val="21"/>
          <w:color w:val="auto"/>
        </w:rPr>
        <w:t>EAGHER</w:t>
      </w:r>
      <w:r>
        <w:rPr>
          <w:rFonts w:ascii="Arial" w:cs="Arial" w:eastAsia="Arial" w:hAnsi="Arial"/>
          <w:sz w:val="30"/>
          <w:szCs w:val="30"/>
          <w:color w:val="auto"/>
        </w:rPr>
        <w:t xml:space="preserve"> &amp; F</w:t>
      </w:r>
      <w:r>
        <w:rPr>
          <w:rFonts w:ascii="Arial" w:cs="Arial" w:eastAsia="Arial" w:hAnsi="Arial"/>
          <w:sz w:val="21"/>
          <w:szCs w:val="21"/>
          <w:color w:val="auto"/>
        </w:rPr>
        <w:t>LOM LLP</w:t>
      </w:r>
    </w:p>
    <w:p>
      <w:pPr>
        <w:spacing w:after="0" w:line="216" w:lineRule="exact"/>
        <w:rPr>
          <w:sz w:val="24"/>
          <w:szCs w:val="24"/>
          <w:color w:val="auto"/>
        </w:rPr>
      </w:pPr>
    </w:p>
    <w:tbl>
      <w:tblPr>
        <w:tblLayout w:type="fixed"/>
        <w:tblInd w:w="4540" w:type="dxa"/>
        <w:tblCellMar>
          <w:top w:w="0" w:type="dxa"/>
          <w:left w:w="0" w:type="dxa"/>
          <w:bottom w:w="0" w:type="dxa"/>
          <w:right w:w="0" w:type="dxa"/>
        </w:tblCellMar>
      </w:tblPr>
      <w:tr>
        <w:trPr>
          <w:trHeight w:val="139"/>
        </w:trPr>
        <w:tc>
          <w:tcPr>
            <w:tcW w:w="3540" w:type="dxa"/>
            <w:vAlign w:val="bottom"/>
          </w:tcPr>
          <w:p>
            <w:pPr>
              <w:spacing w:after="0"/>
              <w:rPr>
                <w:sz w:val="12"/>
                <w:szCs w:val="12"/>
                <w:color w:val="auto"/>
              </w:rPr>
            </w:pPr>
          </w:p>
        </w:tc>
        <w:tc>
          <w:tcPr>
            <w:tcW w:w="2900" w:type="dxa"/>
            <w:vAlign w:val="bottom"/>
          </w:tcPr>
          <w:p>
            <w:pPr>
              <w:jc w:val="center"/>
              <w:ind w:left="1313"/>
              <w:spacing w:after="0"/>
              <w:rPr>
                <w:sz w:val="20"/>
                <w:szCs w:val="20"/>
                <w:color w:val="auto"/>
              </w:rPr>
            </w:pPr>
            <w:r>
              <w:rPr>
                <w:rFonts w:ascii="Arial" w:cs="Arial" w:eastAsia="Arial" w:hAnsi="Arial"/>
                <w:sz w:val="12"/>
                <w:szCs w:val="12"/>
                <w:color w:val="auto"/>
              </w:rPr>
              <w:t>FIRM/AFFILIATE OFFICES</w:t>
            </w:r>
          </w:p>
        </w:tc>
        <w:tc>
          <w:tcPr>
            <w:tcW w:w="0" w:type="dxa"/>
            <w:vAlign w:val="bottom"/>
          </w:tcPr>
          <w:p>
            <w:pPr>
              <w:spacing w:after="0"/>
              <w:rPr>
                <w:sz w:val="1"/>
                <w:szCs w:val="1"/>
                <w:color w:val="auto"/>
              </w:rPr>
            </w:pPr>
          </w:p>
        </w:tc>
      </w:tr>
      <w:tr>
        <w:trPr>
          <w:trHeight w:val="98"/>
        </w:trPr>
        <w:tc>
          <w:tcPr>
            <w:tcW w:w="3540" w:type="dxa"/>
            <w:vAlign w:val="bottom"/>
            <w:vMerge w:val="restart"/>
          </w:tcPr>
          <w:p>
            <w:pPr>
              <w:jc w:val="center"/>
              <w:ind w:right="1303"/>
              <w:spacing w:after="0"/>
              <w:rPr>
                <w:sz w:val="20"/>
                <w:szCs w:val="20"/>
                <w:color w:val="auto"/>
              </w:rPr>
            </w:pPr>
            <w:r>
              <w:rPr>
                <w:rFonts w:ascii="Arial" w:cs="Arial" w:eastAsia="Arial" w:hAnsi="Arial"/>
                <w:sz w:val="20"/>
                <w:szCs w:val="20"/>
                <w:color w:val="auto"/>
                <w:w w:val="97"/>
              </w:rPr>
              <w:t>FOUR TIMES SQUARE</w:t>
            </w:r>
          </w:p>
        </w:tc>
        <w:tc>
          <w:tcPr>
            <w:tcW w:w="2900" w:type="dxa"/>
            <w:vAlign w:val="bottom"/>
          </w:tcPr>
          <w:p>
            <w:pPr>
              <w:jc w:val="center"/>
              <w:ind w:left="1313"/>
              <w:spacing w:after="0" w:line="99" w:lineRule="exact"/>
              <w:rPr>
                <w:sz w:val="20"/>
                <w:szCs w:val="20"/>
                <w:color w:val="auto"/>
              </w:rPr>
            </w:pPr>
            <w:r>
              <w:rPr>
                <w:rFonts w:ascii="Arial" w:cs="Arial" w:eastAsia="Arial" w:hAnsi="Arial"/>
                <w:sz w:val="9"/>
                <w:szCs w:val="9"/>
                <w:color w:val="auto"/>
                <w:w w:val="96"/>
              </w:rPr>
              <w:t>-----------</w:t>
            </w:r>
          </w:p>
        </w:tc>
        <w:tc>
          <w:tcPr>
            <w:tcW w:w="0" w:type="dxa"/>
            <w:vAlign w:val="bottom"/>
          </w:tcPr>
          <w:p>
            <w:pPr>
              <w:spacing w:after="0"/>
              <w:rPr>
                <w:sz w:val="1"/>
                <w:szCs w:val="1"/>
                <w:color w:val="auto"/>
              </w:rPr>
            </w:pPr>
          </w:p>
        </w:tc>
      </w:tr>
      <w:tr>
        <w:trPr>
          <w:trHeight w:val="160"/>
        </w:trPr>
        <w:tc>
          <w:tcPr>
            <w:tcW w:w="3540" w:type="dxa"/>
            <w:vAlign w:val="bottom"/>
            <w:vMerge w:val="continue"/>
          </w:tcPr>
          <w:p>
            <w:pPr>
              <w:spacing w:after="0"/>
              <w:rPr>
                <w:sz w:val="13"/>
                <w:szCs w:val="13"/>
                <w:color w:val="auto"/>
              </w:rPr>
            </w:pPr>
          </w:p>
        </w:tc>
        <w:tc>
          <w:tcPr>
            <w:tcW w:w="2900" w:type="dxa"/>
            <w:vAlign w:val="bottom"/>
          </w:tcPr>
          <w:p>
            <w:pPr>
              <w:jc w:val="center"/>
              <w:ind w:left="1313"/>
              <w:spacing w:after="0"/>
              <w:rPr>
                <w:sz w:val="20"/>
                <w:szCs w:val="20"/>
                <w:color w:val="auto"/>
              </w:rPr>
            </w:pPr>
            <w:r>
              <w:rPr>
                <w:rFonts w:ascii="Arial" w:cs="Arial" w:eastAsia="Arial" w:hAnsi="Arial"/>
                <w:sz w:val="14"/>
                <w:szCs w:val="14"/>
                <w:color w:val="auto"/>
              </w:rPr>
              <w:t>BOSTON</w:t>
            </w:r>
          </w:p>
        </w:tc>
        <w:tc>
          <w:tcPr>
            <w:tcW w:w="0" w:type="dxa"/>
            <w:vAlign w:val="bottom"/>
          </w:tcPr>
          <w:p>
            <w:pPr>
              <w:spacing w:after="0"/>
              <w:rPr>
                <w:sz w:val="1"/>
                <w:szCs w:val="1"/>
                <w:color w:val="auto"/>
              </w:rPr>
            </w:pPr>
          </w:p>
        </w:tc>
      </w:tr>
      <w:tr>
        <w:trPr>
          <w:trHeight w:val="160"/>
        </w:trPr>
        <w:tc>
          <w:tcPr>
            <w:tcW w:w="3540" w:type="dxa"/>
            <w:vAlign w:val="bottom"/>
            <w:vMerge w:val="restart"/>
          </w:tcPr>
          <w:p>
            <w:pPr>
              <w:jc w:val="center"/>
              <w:ind w:right="1303"/>
              <w:spacing w:after="0"/>
              <w:rPr>
                <w:sz w:val="20"/>
                <w:szCs w:val="20"/>
                <w:color w:val="auto"/>
              </w:rPr>
            </w:pPr>
            <w:r>
              <w:rPr>
                <w:rFonts w:ascii="Arial" w:cs="Arial" w:eastAsia="Arial" w:hAnsi="Arial"/>
                <w:sz w:val="20"/>
                <w:szCs w:val="20"/>
                <w:color w:val="auto"/>
                <w:w w:val="97"/>
              </w:rPr>
              <w:t>NEW YORK 10036-6522</w:t>
            </w:r>
          </w:p>
        </w:tc>
        <w:tc>
          <w:tcPr>
            <w:tcW w:w="2900" w:type="dxa"/>
            <w:vAlign w:val="bottom"/>
          </w:tcPr>
          <w:p>
            <w:pPr>
              <w:jc w:val="center"/>
              <w:ind w:left="1293"/>
              <w:spacing w:after="0"/>
              <w:rPr>
                <w:sz w:val="20"/>
                <w:szCs w:val="20"/>
                <w:color w:val="auto"/>
              </w:rPr>
            </w:pPr>
            <w:r>
              <w:rPr>
                <w:rFonts w:ascii="Arial" w:cs="Arial" w:eastAsia="Arial" w:hAnsi="Arial"/>
                <w:sz w:val="14"/>
                <w:szCs w:val="14"/>
                <w:color w:val="auto"/>
              </w:rPr>
              <w:t>CHICAGO</w:t>
            </w:r>
          </w:p>
        </w:tc>
        <w:tc>
          <w:tcPr>
            <w:tcW w:w="0" w:type="dxa"/>
            <w:vAlign w:val="bottom"/>
          </w:tcPr>
          <w:p>
            <w:pPr>
              <w:spacing w:after="0"/>
              <w:rPr>
                <w:sz w:val="1"/>
                <w:szCs w:val="1"/>
                <w:color w:val="auto"/>
              </w:rPr>
            </w:pPr>
          </w:p>
        </w:tc>
      </w:tr>
      <w:tr>
        <w:trPr>
          <w:trHeight w:val="91"/>
        </w:trPr>
        <w:tc>
          <w:tcPr>
            <w:tcW w:w="3540" w:type="dxa"/>
            <w:vAlign w:val="bottom"/>
            <w:vMerge w:val="continue"/>
          </w:tcPr>
          <w:p>
            <w:pPr>
              <w:spacing w:after="0"/>
              <w:rPr>
                <w:sz w:val="7"/>
                <w:szCs w:val="7"/>
                <w:color w:val="auto"/>
              </w:rPr>
            </w:pPr>
          </w:p>
        </w:tc>
        <w:tc>
          <w:tcPr>
            <w:tcW w:w="2900" w:type="dxa"/>
            <w:vAlign w:val="bottom"/>
            <w:vMerge w:val="restart"/>
          </w:tcPr>
          <w:p>
            <w:pPr>
              <w:jc w:val="center"/>
              <w:ind w:left="1293"/>
              <w:spacing w:after="0"/>
              <w:rPr>
                <w:sz w:val="20"/>
                <w:szCs w:val="20"/>
                <w:color w:val="auto"/>
              </w:rPr>
            </w:pPr>
            <w:r>
              <w:rPr>
                <w:rFonts w:ascii="Arial" w:cs="Arial" w:eastAsia="Arial" w:hAnsi="Arial"/>
                <w:sz w:val="14"/>
                <w:szCs w:val="14"/>
                <w:color w:val="auto"/>
                <w:w w:val="99"/>
              </w:rPr>
              <w:t>HOUSTON</w:t>
            </w:r>
          </w:p>
        </w:tc>
        <w:tc>
          <w:tcPr>
            <w:tcW w:w="0" w:type="dxa"/>
            <w:vAlign w:val="bottom"/>
          </w:tcPr>
          <w:p>
            <w:pPr>
              <w:spacing w:after="0"/>
              <w:rPr>
                <w:sz w:val="1"/>
                <w:szCs w:val="1"/>
                <w:color w:val="auto"/>
              </w:rPr>
            </w:pPr>
          </w:p>
        </w:tc>
      </w:tr>
      <w:tr>
        <w:trPr>
          <w:trHeight w:val="69"/>
        </w:trPr>
        <w:tc>
          <w:tcPr>
            <w:tcW w:w="3540" w:type="dxa"/>
            <w:vAlign w:val="bottom"/>
          </w:tcPr>
          <w:p>
            <w:pPr>
              <w:jc w:val="center"/>
              <w:ind w:right="1303"/>
              <w:spacing w:after="0" w:line="69" w:lineRule="exact"/>
              <w:rPr>
                <w:sz w:val="20"/>
                <w:szCs w:val="20"/>
                <w:color w:val="auto"/>
              </w:rPr>
            </w:pPr>
            <w:r>
              <w:rPr>
                <w:rFonts w:ascii="Arial" w:cs="Arial" w:eastAsia="Arial" w:hAnsi="Arial"/>
                <w:sz w:val="7"/>
                <w:szCs w:val="7"/>
                <w:color w:val="auto"/>
              </w:rPr>
              <w:t>________</w:t>
            </w:r>
          </w:p>
        </w:tc>
        <w:tc>
          <w:tcPr>
            <w:tcW w:w="2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540" w:type="dxa"/>
            <w:vAlign w:val="bottom"/>
          </w:tcPr>
          <w:p>
            <w:pPr>
              <w:jc w:val="center"/>
              <w:ind w:right="1303"/>
              <w:spacing w:after="0" w:line="160" w:lineRule="exact"/>
              <w:rPr>
                <w:sz w:val="20"/>
                <w:szCs w:val="20"/>
                <w:color w:val="auto"/>
              </w:rPr>
            </w:pPr>
            <w:r>
              <w:rPr>
                <w:rFonts w:ascii="Arial" w:cs="Arial" w:eastAsia="Arial" w:hAnsi="Arial"/>
                <w:sz w:val="16"/>
                <w:szCs w:val="16"/>
                <w:color w:val="auto"/>
              </w:rPr>
              <w:t>TEL: (212) 735-3000</w:t>
            </w:r>
          </w:p>
        </w:tc>
        <w:tc>
          <w:tcPr>
            <w:tcW w:w="2900" w:type="dxa"/>
            <w:vAlign w:val="bottom"/>
          </w:tcPr>
          <w:p>
            <w:pPr>
              <w:jc w:val="center"/>
              <w:ind w:left="1313"/>
              <w:spacing w:after="0"/>
              <w:rPr>
                <w:sz w:val="20"/>
                <w:szCs w:val="20"/>
                <w:color w:val="auto"/>
              </w:rPr>
            </w:pPr>
            <w:r>
              <w:rPr>
                <w:rFonts w:ascii="Arial" w:cs="Arial" w:eastAsia="Arial" w:hAnsi="Arial"/>
                <w:sz w:val="14"/>
                <w:szCs w:val="14"/>
                <w:color w:val="auto"/>
              </w:rPr>
              <w:t>LOS ANGELES</w:t>
            </w:r>
          </w:p>
        </w:tc>
        <w:tc>
          <w:tcPr>
            <w:tcW w:w="0" w:type="dxa"/>
            <w:vAlign w:val="bottom"/>
          </w:tcPr>
          <w:p>
            <w:pPr>
              <w:spacing w:after="0"/>
              <w:rPr>
                <w:sz w:val="1"/>
                <w:szCs w:val="1"/>
                <w:color w:val="auto"/>
              </w:rPr>
            </w:pPr>
          </w:p>
        </w:tc>
      </w:tr>
      <w:tr>
        <w:trPr>
          <w:trHeight w:val="182"/>
        </w:trPr>
        <w:tc>
          <w:tcPr>
            <w:tcW w:w="3540" w:type="dxa"/>
            <w:vAlign w:val="bottom"/>
          </w:tcPr>
          <w:p>
            <w:pPr>
              <w:jc w:val="center"/>
              <w:ind w:right="1283"/>
              <w:spacing w:after="0" w:line="182" w:lineRule="exact"/>
              <w:rPr>
                <w:sz w:val="20"/>
                <w:szCs w:val="20"/>
                <w:color w:val="auto"/>
              </w:rPr>
            </w:pPr>
            <w:r>
              <w:rPr>
                <w:rFonts w:ascii="Arial" w:cs="Arial" w:eastAsia="Arial" w:hAnsi="Arial"/>
                <w:sz w:val="16"/>
                <w:szCs w:val="16"/>
                <w:color w:val="auto"/>
              </w:rPr>
              <w:t>FAX: (212) 735-2000</w:t>
            </w:r>
          </w:p>
        </w:tc>
        <w:tc>
          <w:tcPr>
            <w:tcW w:w="2900" w:type="dxa"/>
            <w:vAlign w:val="bottom"/>
          </w:tcPr>
          <w:p>
            <w:pPr>
              <w:jc w:val="center"/>
              <w:ind w:left="1313"/>
              <w:spacing w:after="0"/>
              <w:rPr>
                <w:sz w:val="20"/>
                <w:szCs w:val="20"/>
                <w:color w:val="auto"/>
              </w:rPr>
            </w:pPr>
            <w:r>
              <w:rPr>
                <w:rFonts w:ascii="Arial" w:cs="Arial" w:eastAsia="Arial" w:hAnsi="Arial"/>
                <w:sz w:val="14"/>
                <w:szCs w:val="14"/>
                <w:color w:val="auto"/>
                <w:w w:val="97"/>
              </w:rPr>
              <w:t>PALO ALTO</w:t>
            </w:r>
          </w:p>
        </w:tc>
        <w:tc>
          <w:tcPr>
            <w:tcW w:w="0" w:type="dxa"/>
            <w:vAlign w:val="bottom"/>
          </w:tcPr>
          <w:p>
            <w:pPr>
              <w:spacing w:after="0"/>
              <w:rPr>
                <w:sz w:val="1"/>
                <w:szCs w:val="1"/>
                <w:color w:val="auto"/>
              </w:rPr>
            </w:pPr>
          </w:p>
        </w:tc>
      </w:tr>
      <w:tr>
        <w:trPr>
          <w:trHeight w:val="138"/>
        </w:trPr>
        <w:tc>
          <w:tcPr>
            <w:tcW w:w="3540" w:type="dxa"/>
            <w:vAlign w:val="bottom"/>
            <w:vMerge w:val="restart"/>
          </w:tcPr>
          <w:p>
            <w:pPr>
              <w:jc w:val="center"/>
              <w:ind w:right="1283"/>
              <w:spacing w:after="0"/>
              <w:rPr>
                <w:sz w:val="20"/>
                <w:szCs w:val="20"/>
                <w:color w:val="auto"/>
              </w:rPr>
            </w:pPr>
            <w:r>
              <w:rPr>
                <w:rFonts w:ascii="Arial" w:cs="Arial" w:eastAsia="Arial" w:hAnsi="Arial"/>
                <w:sz w:val="14"/>
                <w:szCs w:val="14"/>
                <w:color w:val="auto"/>
              </w:rPr>
              <w:t>www.skadden.com</w:t>
            </w:r>
          </w:p>
        </w:tc>
        <w:tc>
          <w:tcPr>
            <w:tcW w:w="2900" w:type="dxa"/>
            <w:vAlign w:val="bottom"/>
          </w:tcPr>
          <w:p>
            <w:pPr>
              <w:jc w:val="center"/>
              <w:ind w:left="1293"/>
              <w:spacing w:after="0" w:line="138" w:lineRule="exact"/>
              <w:rPr>
                <w:sz w:val="20"/>
                <w:szCs w:val="20"/>
                <w:color w:val="auto"/>
              </w:rPr>
            </w:pPr>
            <w:r>
              <w:rPr>
                <w:rFonts w:ascii="Arial" w:cs="Arial" w:eastAsia="Arial" w:hAnsi="Arial"/>
                <w:sz w:val="14"/>
                <w:szCs w:val="14"/>
                <w:color w:val="auto"/>
              </w:rPr>
              <w:t>WASHINGTON, D.C.</w:t>
            </w:r>
          </w:p>
        </w:tc>
        <w:tc>
          <w:tcPr>
            <w:tcW w:w="0" w:type="dxa"/>
            <w:vAlign w:val="bottom"/>
          </w:tcPr>
          <w:p>
            <w:pPr>
              <w:spacing w:after="0"/>
              <w:rPr>
                <w:sz w:val="1"/>
                <w:szCs w:val="1"/>
                <w:color w:val="auto"/>
              </w:rPr>
            </w:pPr>
          </w:p>
        </w:tc>
      </w:tr>
      <w:tr>
        <w:trPr>
          <w:trHeight w:val="77"/>
        </w:trPr>
        <w:tc>
          <w:tcPr>
            <w:tcW w:w="3540" w:type="dxa"/>
            <w:vAlign w:val="bottom"/>
            <w:vMerge w:val="continue"/>
          </w:tcPr>
          <w:p>
            <w:pPr>
              <w:spacing w:after="0"/>
              <w:rPr>
                <w:sz w:val="6"/>
                <w:szCs w:val="6"/>
                <w:color w:val="auto"/>
              </w:rPr>
            </w:pPr>
          </w:p>
        </w:tc>
        <w:tc>
          <w:tcPr>
            <w:tcW w:w="2900" w:type="dxa"/>
            <w:vAlign w:val="bottom"/>
            <w:vMerge w:val="restart"/>
          </w:tcPr>
          <w:p>
            <w:pPr>
              <w:jc w:val="center"/>
              <w:ind w:left="1313"/>
              <w:spacing w:after="0" w:line="155" w:lineRule="exact"/>
              <w:rPr>
                <w:sz w:val="20"/>
                <w:szCs w:val="20"/>
                <w:color w:val="auto"/>
              </w:rPr>
            </w:pPr>
            <w:r>
              <w:rPr>
                <w:rFonts w:ascii="Arial" w:cs="Arial" w:eastAsia="Arial" w:hAnsi="Arial"/>
                <w:sz w:val="14"/>
                <w:szCs w:val="14"/>
                <w:color w:val="auto"/>
              </w:rPr>
              <w:t>WILMINGTON</w:t>
            </w: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2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53" w:right="2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4920"/>
        <w:spacing w:after="0"/>
        <w:rPr>
          <w:sz w:val="20"/>
          <w:szCs w:val="20"/>
          <w:color w:val="auto"/>
        </w:rPr>
      </w:pPr>
      <w:r>
        <w:rPr>
          <w:rFonts w:ascii="Arial" w:cs="Arial" w:eastAsia="Arial" w:hAnsi="Arial"/>
          <w:sz w:val="19"/>
          <w:szCs w:val="19"/>
          <w:color w:val="auto"/>
        </w:rPr>
        <w:t>August 27, 2013</w:t>
      </w:r>
    </w:p>
    <w:p>
      <w:pPr>
        <w:spacing w:after="0" w:line="20" w:lineRule="exact"/>
        <w:rPr>
          <w:sz w:val="24"/>
          <w:szCs w:val="24"/>
          <w:color w:val="auto"/>
        </w:rPr>
      </w:pPr>
      <w:r>
        <w:rPr>
          <w:sz w:val="24"/>
          <w:szCs w:val="24"/>
          <w:color w:val="auto"/>
        </w:rPr>
        <w:br w:type="column"/>
      </w:r>
    </w:p>
    <w:p>
      <w:pPr>
        <w:ind w:left="240"/>
        <w:spacing w:after="0" w:line="203" w:lineRule="auto"/>
        <w:rPr>
          <w:sz w:val="20"/>
          <w:szCs w:val="20"/>
          <w:color w:val="auto"/>
        </w:rPr>
      </w:pPr>
      <w:r>
        <w:rPr>
          <w:rFonts w:ascii="Arial" w:cs="Arial" w:eastAsia="Arial" w:hAnsi="Arial"/>
          <w:sz w:val="9"/>
          <w:szCs w:val="9"/>
          <w:color w:val="auto"/>
        </w:rPr>
        <w:t>-----------</w:t>
      </w:r>
    </w:p>
    <w:p>
      <w:pPr>
        <w:jc w:val="center"/>
        <w:ind w:right="820"/>
        <w:spacing w:after="0" w:line="232" w:lineRule="auto"/>
        <w:rPr>
          <w:sz w:val="20"/>
          <w:szCs w:val="20"/>
          <w:color w:val="auto"/>
        </w:rPr>
      </w:pPr>
      <w:r>
        <w:rPr>
          <w:rFonts w:ascii="Arial" w:cs="Arial" w:eastAsia="Arial" w:hAnsi="Arial"/>
          <w:sz w:val="12"/>
          <w:szCs w:val="12"/>
          <w:color w:val="auto"/>
        </w:rPr>
        <w:t>BEIJING</w:t>
      </w:r>
    </w:p>
    <w:p>
      <w:pPr>
        <w:jc w:val="center"/>
        <w:ind w:right="820"/>
        <w:spacing w:after="0" w:line="232" w:lineRule="auto"/>
        <w:rPr>
          <w:sz w:val="20"/>
          <w:szCs w:val="20"/>
          <w:color w:val="auto"/>
        </w:rPr>
      </w:pPr>
      <w:r>
        <w:rPr>
          <w:rFonts w:ascii="Arial" w:cs="Arial" w:eastAsia="Arial" w:hAnsi="Arial"/>
          <w:sz w:val="12"/>
          <w:szCs w:val="12"/>
          <w:color w:val="auto"/>
        </w:rPr>
        <w:t>BRUSSELS</w:t>
      </w:r>
    </w:p>
    <w:p>
      <w:pPr>
        <w:jc w:val="center"/>
        <w:ind w:right="820"/>
        <w:spacing w:after="0" w:line="232" w:lineRule="auto"/>
        <w:rPr>
          <w:sz w:val="20"/>
          <w:szCs w:val="20"/>
          <w:color w:val="auto"/>
        </w:rPr>
      </w:pPr>
      <w:r>
        <w:rPr>
          <w:rFonts w:ascii="Arial" w:cs="Arial" w:eastAsia="Arial" w:hAnsi="Arial"/>
          <w:sz w:val="12"/>
          <w:szCs w:val="12"/>
          <w:color w:val="auto"/>
        </w:rPr>
        <w:t>FRANKFURT</w:t>
      </w:r>
    </w:p>
    <w:p>
      <w:pPr>
        <w:jc w:val="center"/>
        <w:ind w:right="820"/>
        <w:spacing w:after="0" w:line="232" w:lineRule="auto"/>
        <w:rPr>
          <w:sz w:val="20"/>
          <w:szCs w:val="20"/>
          <w:color w:val="auto"/>
        </w:rPr>
      </w:pPr>
      <w:r>
        <w:rPr>
          <w:rFonts w:ascii="Arial" w:cs="Arial" w:eastAsia="Arial" w:hAnsi="Arial"/>
          <w:sz w:val="12"/>
          <w:szCs w:val="12"/>
          <w:color w:val="auto"/>
        </w:rPr>
        <w:t>HONG KONG</w:t>
      </w:r>
    </w:p>
    <w:p>
      <w:pPr>
        <w:jc w:val="center"/>
        <w:ind w:right="820"/>
        <w:spacing w:after="0" w:line="232" w:lineRule="auto"/>
        <w:rPr>
          <w:sz w:val="20"/>
          <w:szCs w:val="20"/>
          <w:color w:val="auto"/>
        </w:rPr>
      </w:pPr>
      <w:r>
        <w:rPr>
          <w:rFonts w:ascii="Arial" w:cs="Arial" w:eastAsia="Arial" w:hAnsi="Arial"/>
          <w:sz w:val="12"/>
          <w:szCs w:val="12"/>
          <w:color w:val="auto"/>
        </w:rPr>
        <w:t>LONDON</w:t>
      </w:r>
    </w:p>
    <w:p>
      <w:pPr>
        <w:jc w:val="center"/>
        <w:ind w:right="820"/>
        <w:spacing w:after="0" w:line="232" w:lineRule="auto"/>
        <w:rPr>
          <w:sz w:val="20"/>
          <w:szCs w:val="20"/>
          <w:color w:val="auto"/>
        </w:rPr>
      </w:pPr>
      <w:r>
        <w:rPr>
          <w:rFonts w:ascii="Arial" w:cs="Arial" w:eastAsia="Arial" w:hAnsi="Arial"/>
          <w:sz w:val="12"/>
          <w:szCs w:val="12"/>
          <w:color w:val="auto"/>
        </w:rPr>
        <w:t>MOSCOW</w:t>
      </w:r>
    </w:p>
    <w:p>
      <w:pPr>
        <w:jc w:val="center"/>
        <w:ind w:right="820"/>
        <w:spacing w:after="0" w:line="231" w:lineRule="auto"/>
        <w:rPr>
          <w:sz w:val="20"/>
          <w:szCs w:val="20"/>
          <w:color w:val="auto"/>
        </w:rPr>
      </w:pPr>
      <w:r>
        <w:rPr>
          <w:rFonts w:ascii="Arial" w:cs="Arial" w:eastAsia="Arial" w:hAnsi="Arial"/>
          <w:sz w:val="12"/>
          <w:szCs w:val="12"/>
          <w:color w:val="auto"/>
        </w:rPr>
        <w:t>MUNICH</w:t>
      </w:r>
    </w:p>
    <w:p>
      <w:pPr>
        <w:jc w:val="center"/>
        <w:ind w:right="820"/>
        <w:spacing w:after="0" w:line="232" w:lineRule="auto"/>
        <w:rPr>
          <w:sz w:val="20"/>
          <w:szCs w:val="20"/>
          <w:color w:val="auto"/>
        </w:rPr>
      </w:pPr>
      <w:r>
        <w:rPr>
          <w:rFonts w:ascii="Arial" w:cs="Arial" w:eastAsia="Arial" w:hAnsi="Arial"/>
          <w:sz w:val="12"/>
          <w:szCs w:val="12"/>
          <w:color w:val="auto"/>
        </w:rPr>
        <w:t>PARIS</w:t>
      </w:r>
    </w:p>
    <w:p>
      <w:pPr>
        <w:jc w:val="center"/>
        <w:ind w:right="820"/>
        <w:spacing w:after="0" w:line="232" w:lineRule="auto"/>
        <w:rPr>
          <w:sz w:val="20"/>
          <w:szCs w:val="20"/>
          <w:color w:val="auto"/>
        </w:rPr>
      </w:pPr>
      <w:r>
        <w:rPr>
          <w:rFonts w:ascii="Arial" w:cs="Arial" w:eastAsia="Arial" w:hAnsi="Arial"/>
          <w:sz w:val="12"/>
          <w:szCs w:val="12"/>
          <w:color w:val="auto"/>
        </w:rPr>
        <w:t>SÃO PAULO</w:t>
      </w:r>
    </w:p>
    <w:p>
      <w:pPr>
        <w:jc w:val="center"/>
        <w:ind w:right="820"/>
        <w:spacing w:after="0" w:line="232" w:lineRule="auto"/>
        <w:rPr>
          <w:sz w:val="20"/>
          <w:szCs w:val="20"/>
          <w:color w:val="auto"/>
        </w:rPr>
      </w:pPr>
      <w:r>
        <w:rPr>
          <w:rFonts w:ascii="Arial" w:cs="Arial" w:eastAsia="Arial" w:hAnsi="Arial"/>
          <w:sz w:val="12"/>
          <w:szCs w:val="12"/>
          <w:color w:val="auto"/>
        </w:rPr>
        <w:t>SHANGHAI</w:t>
      </w:r>
    </w:p>
    <w:p>
      <w:pPr>
        <w:jc w:val="center"/>
        <w:ind w:right="820"/>
        <w:spacing w:after="0" w:line="232" w:lineRule="auto"/>
        <w:rPr>
          <w:sz w:val="20"/>
          <w:szCs w:val="20"/>
          <w:color w:val="auto"/>
        </w:rPr>
      </w:pPr>
      <w:r>
        <w:rPr>
          <w:rFonts w:ascii="Arial" w:cs="Arial" w:eastAsia="Arial" w:hAnsi="Arial"/>
          <w:sz w:val="12"/>
          <w:szCs w:val="12"/>
          <w:color w:val="auto"/>
        </w:rPr>
        <w:t>SINGAPORE</w:t>
      </w:r>
    </w:p>
    <w:p>
      <w:pPr>
        <w:jc w:val="center"/>
        <w:ind w:right="820"/>
        <w:spacing w:after="0" w:line="232" w:lineRule="auto"/>
        <w:rPr>
          <w:sz w:val="20"/>
          <w:szCs w:val="20"/>
          <w:color w:val="auto"/>
        </w:rPr>
      </w:pPr>
      <w:r>
        <w:rPr>
          <w:rFonts w:ascii="Arial" w:cs="Arial" w:eastAsia="Arial" w:hAnsi="Arial"/>
          <w:sz w:val="12"/>
          <w:szCs w:val="12"/>
          <w:color w:val="auto"/>
        </w:rPr>
        <w:t>SYDNEY</w:t>
      </w:r>
    </w:p>
    <w:p>
      <w:pPr>
        <w:jc w:val="center"/>
        <w:ind w:right="820"/>
        <w:spacing w:after="0" w:line="232" w:lineRule="auto"/>
        <w:rPr>
          <w:sz w:val="20"/>
          <w:szCs w:val="20"/>
          <w:color w:val="auto"/>
        </w:rPr>
      </w:pPr>
      <w:r>
        <w:rPr>
          <w:rFonts w:ascii="Arial" w:cs="Arial" w:eastAsia="Arial" w:hAnsi="Arial"/>
          <w:sz w:val="12"/>
          <w:szCs w:val="12"/>
          <w:color w:val="auto"/>
        </w:rPr>
        <w:t>TOKYO</w:t>
      </w:r>
    </w:p>
    <w:p>
      <w:pPr>
        <w:jc w:val="center"/>
        <w:ind w:right="820"/>
        <w:spacing w:after="0" w:line="232" w:lineRule="auto"/>
        <w:rPr>
          <w:sz w:val="20"/>
          <w:szCs w:val="20"/>
          <w:color w:val="auto"/>
        </w:rPr>
      </w:pPr>
      <w:r>
        <w:rPr>
          <w:rFonts w:ascii="Arial" w:cs="Arial" w:eastAsia="Arial" w:hAnsi="Arial"/>
          <w:sz w:val="12"/>
          <w:szCs w:val="12"/>
          <w:color w:val="auto"/>
        </w:rPr>
        <w:t>TORONTO</w:t>
      </w:r>
    </w:p>
    <w:p>
      <w:pPr>
        <w:jc w:val="center"/>
        <w:ind w:right="820"/>
        <w:spacing w:after="0"/>
        <w:rPr>
          <w:sz w:val="20"/>
          <w:szCs w:val="20"/>
          <w:color w:val="auto"/>
        </w:rPr>
      </w:pPr>
      <w:r>
        <w:rPr>
          <w:rFonts w:ascii="Arial" w:cs="Arial" w:eastAsia="Arial" w:hAnsi="Arial"/>
          <w:sz w:val="12"/>
          <w:szCs w:val="12"/>
          <w:color w:val="auto"/>
        </w:rPr>
        <w:t>VIENNA</w:t>
      </w:r>
    </w:p>
    <w:p>
      <w:pPr>
        <w:spacing w:after="0" w:line="200" w:lineRule="exact"/>
        <w:rPr>
          <w:sz w:val="24"/>
          <w:szCs w:val="24"/>
          <w:color w:val="auto"/>
        </w:rPr>
      </w:pPr>
    </w:p>
    <w:p>
      <w:pPr>
        <w:sectPr>
          <w:pgSz w:w="11900" w:h="16838" w:orient="portrait"/>
          <w:cols w:equalWidth="0" w:num="2">
            <w:col w:w="9100" w:space="720"/>
            <w:col w:w="1600"/>
          </w:cols>
          <w:pgMar w:left="240" w:top="253" w:right="23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21"/>
          <w:szCs w:val="21"/>
          <w:u w:val="single" w:color="auto"/>
          <w:color w:val="auto"/>
        </w:rPr>
        <w:t>VIA EDGAR</w:t>
      </w:r>
    </w:p>
    <w:p>
      <w:pPr>
        <w:spacing w:after="0" w:line="15" w:lineRule="exact"/>
        <w:rPr>
          <w:sz w:val="24"/>
          <w:szCs w:val="24"/>
          <w:color w:val="auto"/>
        </w:rPr>
      </w:pPr>
    </w:p>
    <w:p>
      <w:pPr>
        <w:spacing w:after="0"/>
        <w:rPr>
          <w:sz w:val="20"/>
          <w:szCs w:val="20"/>
          <w:color w:val="auto"/>
        </w:rPr>
      </w:pPr>
      <w:r>
        <w:rPr>
          <w:rFonts w:ascii="Arial" w:cs="Arial" w:eastAsia="Arial" w:hAnsi="Arial"/>
          <w:sz w:val="21"/>
          <w:szCs w:val="21"/>
          <w:color w:val="auto"/>
        </w:rPr>
        <w:t>Securities and Exchange Commission</w:t>
      </w:r>
    </w:p>
    <w:p>
      <w:pPr>
        <w:spacing w:after="0" w:line="238" w:lineRule="auto"/>
        <w:rPr>
          <w:sz w:val="20"/>
          <w:szCs w:val="20"/>
          <w:color w:val="auto"/>
        </w:rPr>
      </w:pPr>
      <w:r>
        <w:rPr>
          <w:rFonts w:ascii="Arial" w:cs="Arial" w:eastAsia="Arial" w:hAnsi="Arial"/>
          <w:sz w:val="21"/>
          <w:szCs w:val="21"/>
          <w:color w:val="auto"/>
        </w:rPr>
        <w:t>Division of Corporation Finance</w:t>
      </w:r>
    </w:p>
    <w:p>
      <w:pPr>
        <w:spacing w:after="0"/>
        <w:rPr>
          <w:sz w:val="20"/>
          <w:szCs w:val="20"/>
          <w:color w:val="auto"/>
        </w:rPr>
      </w:pPr>
      <w:r>
        <w:rPr>
          <w:rFonts w:ascii="Arial" w:cs="Arial" w:eastAsia="Arial" w:hAnsi="Arial"/>
          <w:sz w:val="21"/>
          <w:szCs w:val="21"/>
          <w:color w:val="auto"/>
        </w:rPr>
        <w:t>100 F Street, NE</w:t>
      </w:r>
    </w:p>
    <w:p>
      <w:pPr>
        <w:spacing w:after="0" w:line="238" w:lineRule="auto"/>
        <w:rPr>
          <w:sz w:val="20"/>
          <w:szCs w:val="20"/>
          <w:color w:val="auto"/>
        </w:rPr>
      </w:pPr>
      <w:r>
        <w:rPr>
          <w:rFonts w:ascii="Arial" w:cs="Arial" w:eastAsia="Arial" w:hAnsi="Arial"/>
          <w:sz w:val="21"/>
          <w:szCs w:val="21"/>
          <w:color w:val="auto"/>
        </w:rPr>
        <w:t>Washington, DC 20549</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Attn: John Nolan, Senior Assistant Chief Accountant</w:t>
      </w:r>
    </w:p>
    <w:p>
      <w:pPr>
        <w:spacing w:after="0" w:line="215" w:lineRule="exact"/>
        <w:rPr>
          <w:sz w:val="24"/>
          <w:szCs w:val="24"/>
          <w:color w:val="auto"/>
        </w:rPr>
      </w:pPr>
    </w:p>
    <w:p>
      <w:pPr>
        <w:ind w:left="640"/>
        <w:spacing w:after="0"/>
        <w:tabs>
          <w:tab w:leader="none" w:pos="1260" w:val="left"/>
        </w:tabs>
        <w:rPr>
          <w:sz w:val="20"/>
          <w:szCs w:val="20"/>
          <w:color w:val="auto"/>
        </w:rPr>
      </w:pPr>
      <w:r>
        <w:rPr>
          <w:rFonts w:ascii="Arial" w:cs="Arial" w:eastAsia="Arial" w:hAnsi="Arial"/>
          <w:sz w:val="21"/>
          <w:szCs w:val="21"/>
          <w:b w:val="1"/>
          <w:bCs w:val="1"/>
          <w:color w:val="auto"/>
        </w:rPr>
        <w:t>Re:</w:t>
        <w:tab/>
        <w:t>BankUnited, Inc.</w:t>
      </w:r>
    </w:p>
    <w:p>
      <w:pPr>
        <w:spacing w:after="0" w:line="21" w:lineRule="exact"/>
        <w:rPr>
          <w:sz w:val="24"/>
          <w:szCs w:val="24"/>
          <w:color w:val="auto"/>
        </w:rPr>
      </w:pPr>
    </w:p>
    <w:p>
      <w:pPr>
        <w:ind w:left="1280"/>
        <w:spacing w:after="0"/>
        <w:rPr>
          <w:sz w:val="20"/>
          <w:szCs w:val="20"/>
          <w:color w:val="auto"/>
        </w:rPr>
      </w:pPr>
      <w:r>
        <w:rPr>
          <w:rFonts w:ascii="Arial" w:cs="Arial" w:eastAsia="Arial" w:hAnsi="Arial"/>
          <w:sz w:val="21"/>
          <w:szCs w:val="21"/>
          <w:b w:val="1"/>
          <w:bCs w:val="1"/>
          <w:color w:val="auto"/>
        </w:rPr>
        <w:t>Form 10-K for Fiscal Year Ended December 31, 2012</w:t>
      </w:r>
    </w:p>
    <w:p>
      <w:pPr>
        <w:ind w:left="1280"/>
        <w:spacing w:after="0" w:line="238" w:lineRule="auto"/>
        <w:rPr>
          <w:sz w:val="20"/>
          <w:szCs w:val="20"/>
          <w:color w:val="auto"/>
        </w:rPr>
      </w:pPr>
      <w:r>
        <w:rPr>
          <w:rFonts w:ascii="Arial" w:cs="Arial" w:eastAsia="Arial" w:hAnsi="Arial"/>
          <w:sz w:val="21"/>
          <w:szCs w:val="21"/>
          <w:b w:val="1"/>
          <w:bCs w:val="1"/>
          <w:color w:val="auto"/>
        </w:rPr>
        <w:t>Filed February 25, 2013</w:t>
      </w:r>
    </w:p>
    <w:p>
      <w:pPr>
        <w:ind w:left="1280"/>
        <w:spacing w:after="0"/>
        <w:rPr>
          <w:sz w:val="20"/>
          <w:szCs w:val="20"/>
          <w:color w:val="auto"/>
        </w:rPr>
      </w:pPr>
      <w:r>
        <w:rPr>
          <w:rFonts w:ascii="Arial" w:cs="Arial" w:eastAsia="Arial" w:hAnsi="Arial"/>
          <w:sz w:val="21"/>
          <w:szCs w:val="21"/>
          <w:b w:val="1"/>
          <w:bCs w:val="1"/>
          <w:color w:val="auto"/>
        </w:rPr>
        <w:t>Response Dated August 2, 2013</w:t>
      </w:r>
    </w:p>
    <w:p>
      <w:pPr>
        <w:ind w:left="1280"/>
        <w:spacing w:after="0"/>
        <w:rPr>
          <w:sz w:val="20"/>
          <w:szCs w:val="20"/>
          <w:color w:val="auto"/>
        </w:rPr>
      </w:pPr>
      <w:r>
        <w:rPr>
          <w:rFonts w:ascii="Arial" w:cs="Arial" w:eastAsia="Arial" w:hAnsi="Arial"/>
          <w:sz w:val="21"/>
          <w:szCs w:val="21"/>
          <w:b w:val="1"/>
          <w:bCs w:val="1"/>
          <w:color w:val="auto"/>
        </w:rPr>
        <w:t>File No. 001-35039</w:t>
      </w:r>
    </w:p>
    <w:p>
      <w:pPr>
        <w:spacing w:after="0" w:line="221" w:lineRule="exact"/>
        <w:rPr>
          <w:sz w:val="24"/>
          <w:szCs w:val="24"/>
          <w:color w:val="auto"/>
        </w:rPr>
      </w:pPr>
    </w:p>
    <w:p>
      <w:pPr>
        <w:spacing w:after="0"/>
        <w:rPr>
          <w:sz w:val="20"/>
          <w:szCs w:val="20"/>
          <w:color w:val="auto"/>
        </w:rPr>
      </w:pPr>
      <w:r>
        <w:rPr>
          <w:rFonts w:ascii="Arial" w:cs="Arial" w:eastAsia="Arial" w:hAnsi="Arial"/>
          <w:sz w:val="21"/>
          <w:szCs w:val="21"/>
          <w:color w:val="auto"/>
        </w:rPr>
        <w:t>Dear Mr. Nolan:</w:t>
      </w:r>
    </w:p>
    <w:p>
      <w:pPr>
        <w:spacing w:after="0" w:line="239" w:lineRule="exact"/>
        <w:rPr>
          <w:sz w:val="24"/>
          <w:szCs w:val="24"/>
          <w:color w:val="auto"/>
        </w:rPr>
      </w:pPr>
    </w:p>
    <w:p>
      <w:pPr>
        <w:ind w:right="140" w:firstLine="1280"/>
        <w:spacing w:after="0" w:line="248" w:lineRule="auto"/>
        <w:rPr>
          <w:sz w:val="20"/>
          <w:szCs w:val="20"/>
          <w:color w:val="auto"/>
        </w:rPr>
      </w:pPr>
      <w:r>
        <w:rPr>
          <w:rFonts w:ascii="Arial" w:cs="Arial" w:eastAsia="Arial" w:hAnsi="Arial"/>
          <w:sz w:val="21"/>
          <w:szCs w:val="21"/>
          <w:color w:val="auto"/>
        </w:rPr>
        <w:t>On behalf of BankUnited, Inc. (the “Company”), we are submitting this letter in response to the comment of the staff (the “Staff”) of the Securities and Exchange Commission (the “Commission”) set forth in the Staff’s letter, dated August 13, 2013, relating to the Company’s Annual Report on Form 10-K for the year ended December 31, 2012 filed with the Commission on February 25, 2013 (the “10-K”).</w:t>
      </w:r>
    </w:p>
    <w:p>
      <w:pPr>
        <w:spacing w:after="0" w:line="202" w:lineRule="exact"/>
        <w:rPr>
          <w:sz w:val="24"/>
          <w:szCs w:val="24"/>
          <w:color w:val="auto"/>
        </w:rPr>
      </w:pPr>
    </w:p>
    <w:p>
      <w:pPr>
        <w:ind w:firstLine="1280"/>
        <w:spacing w:after="0" w:line="248" w:lineRule="auto"/>
        <w:rPr>
          <w:sz w:val="20"/>
          <w:szCs w:val="20"/>
          <w:color w:val="auto"/>
        </w:rPr>
      </w:pPr>
      <w:r>
        <w:rPr>
          <w:rFonts w:ascii="Arial" w:cs="Arial" w:eastAsia="Arial" w:hAnsi="Arial"/>
          <w:sz w:val="21"/>
          <w:szCs w:val="21"/>
          <w:color w:val="auto"/>
        </w:rPr>
        <w:t>For the Staff’s convenience, the Staff’s comment has been reproduced below in italics, with the response to a particular bullet set out immediately under the bullet. The headings and numbered paragraphs in this letter correspond to the headings and numbered paragraphs in the Staff’s comment letter. Capitalized terms used but not defined herein have the meanings given to them in the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725233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Form 10-K for Fiscal Year End December 31, 2012</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Note 5. Loans and Allowance for Loan and Lease Losses, page F-39</w:t>
      </w:r>
    </w:p>
    <w:p>
      <w:pPr>
        <w:spacing w:after="0" w:line="239"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21"/>
          <w:szCs w:val="21"/>
          <w:i w:val="1"/>
          <w:iCs w:val="1"/>
          <w:color w:val="auto"/>
        </w:rPr>
        <w:t>1.</w:t>
      </w:r>
      <w:r>
        <w:rPr>
          <w:sz w:val="20"/>
          <w:szCs w:val="20"/>
          <w:color w:val="auto"/>
        </w:rPr>
        <w:tab/>
      </w:r>
      <w:r>
        <w:rPr>
          <w:rFonts w:ascii="Arial" w:cs="Arial" w:eastAsia="Arial" w:hAnsi="Arial"/>
          <w:sz w:val="19"/>
          <w:szCs w:val="19"/>
          <w:i w:val="1"/>
          <w:iCs w:val="1"/>
          <w:color w:val="auto"/>
        </w:rPr>
        <w:t>Please refer to your response to comment 1 of our July 23, 2013 letter and address the following:</w:t>
      </w:r>
    </w:p>
    <w:p>
      <w:pPr>
        <w:spacing w:after="0" w:line="239" w:lineRule="exact"/>
        <w:rPr>
          <w:sz w:val="20"/>
          <w:szCs w:val="20"/>
          <w:color w:val="auto"/>
        </w:rPr>
      </w:pPr>
    </w:p>
    <w:p>
      <w:pPr>
        <w:ind w:left="640" w:right="80" w:hanging="313"/>
        <w:spacing w:after="0" w:line="259"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We note the reference to ASC 310-30-35-15 in your June 21, 2013 response and your reference to an annualized level yield assumption in your August 2, 2013 response. Please clarify for us how you have interpreted the guidance in ASC 310-30-35-15 when removing loans from pools, including at what amounts the loans are removed from the pools (i.e., relative carrying value, actual carrying value or a calculated carrying) and how the yield does not change after a loan is removed from the pool. Please respond to this comment using the same representative examples (i.e. pools with a zero balance and pools without a zero balance) that are in your August 2, 2013 response.</w:t>
      </w:r>
    </w:p>
    <w:p>
      <w:pPr>
        <w:spacing w:after="0" w:line="191"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u w:val="single" w:color="auto"/>
          <w:color w:val="auto"/>
        </w:rPr>
        <w:t>Response</w:t>
      </w:r>
      <w:r>
        <w:rPr>
          <w:rFonts w:ascii="Arial" w:cs="Arial" w:eastAsia="Arial" w:hAnsi="Arial"/>
          <w:sz w:val="19"/>
          <w:szCs w:val="19"/>
          <w:color w:val="auto"/>
        </w:rPr>
        <w:t>:</w:t>
      </w:r>
    </w:p>
    <w:p>
      <w:pPr>
        <w:spacing w:after="0" w:line="239" w:lineRule="exact"/>
        <w:rPr>
          <w:sz w:val="20"/>
          <w:szCs w:val="20"/>
          <w:color w:val="auto"/>
        </w:rPr>
      </w:pPr>
    </w:p>
    <w:p>
      <w:pPr>
        <w:ind w:firstLine="1280"/>
        <w:spacing w:after="0" w:line="272" w:lineRule="auto"/>
        <w:rPr>
          <w:sz w:val="20"/>
          <w:szCs w:val="20"/>
          <w:color w:val="auto"/>
        </w:rPr>
      </w:pPr>
      <w:r>
        <w:rPr>
          <w:rFonts w:ascii="Arial" w:cs="Arial" w:eastAsia="Arial" w:hAnsi="Arial"/>
          <w:sz w:val="19"/>
          <w:szCs w:val="19"/>
          <w:color w:val="auto"/>
        </w:rPr>
        <w:t>Cash flows for each pool of ACI loans are estimated by pool such that there is no specific information on the carrying value and cash flows related to any particular loan within a pool. ASC 310-30 does not provide guidance on how to determine the carrying value of a loan removed from a pool. The Company removes a loan from a pool based on the pro rata allocation approach referred to in AICPA Technical Practice Aid Section 2130.32. Under this method, which has been applied consistently from day one, an allocation of carrying value to the loan on a pro rata basis is used to account for resolutions so as to achieve the goal of not impacting the accounting for the remaining pool (i.e. not impacting the yield). The allocation of carrying value to the loan, illustrated formulaically below, is calculated by taking one minus the nonaccretable discount, or expected loss, for the pool as a percentage of the UPB of the pool as of the last cash flow reforecast and multiplying by the UPB of the resolved loan at the time of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127635</wp:posOffset>
            </wp:positionV>
            <wp:extent cx="4199890" cy="728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9989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firstLine="1280"/>
        <w:spacing w:after="0" w:line="268" w:lineRule="auto"/>
        <w:rPr>
          <w:sz w:val="20"/>
          <w:szCs w:val="20"/>
          <w:color w:val="auto"/>
        </w:rPr>
      </w:pPr>
      <w:r>
        <w:rPr>
          <w:rFonts w:ascii="Arial" w:cs="Arial" w:eastAsia="Arial" w:hAnsi="Arial"/>
          <w:sz w:val="21"/>
          <w:szCs w:val="21"/>
          <w:color w:val="auto"/>
        </w:rPr>
        <w:t>The loan pool is reduced at resolution by the pro rata allocated carrying value described in the foregoing such that the yield on the remaining loans in the pool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2523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505" w:right="279"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3</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Illustration of the removal of loans from a pool with a positive carrying value if cash flows occur as expected:</w:t>
      </w:r>
    </w:p>
    <w:p>
      <w:pPr>
        <w:spacing w:after="0" w:line="200" w:lineRule="exact"/>
        <w:rPr>
          <w:sz w:val="20"/>
          <w:szCs w:val="20"/>
          <w:color w:val="auto"/>
        </w:rPr>
      </w:pPr>
    </w:p>
    <w:p>
      <w:pPr>
        <w:spacing w:after="0" w:line="252" w:lineRule="exact"/>
        <w:rPr>
          <w:sz w:val="20"/>
          <w:szCs w:val="20"/>
          <w:color w:val="auto"/>
        </w:rPr>
      </w:pPr>
    </w:p>
    <w:p>
      <w:pPr>
        <w:ind w:right="40" w:firstLine="1280"/>
        <w:spacing w:after="0" w:line="248" w:lineRule="auto"/>
        <w:rPr>
          <w:sz w:val="20"/>
          <w:szCs w:val="20"/>
          <w:color w:val="auto"/>
        </w:rPr>
      </w:pPr>
      <w:r>
        <w:rPr>
          <w:rFonts w:ascii="Arial" w:cs="Arial" w:eastAsia="Arial" w:hAnsi="Arial"/>
          <w:sz w:val="21"/>
          <w:szCs w:val="21"/>
          <w:color w:val="auto"/>
        </w:rPr>
        <w:t>At the Staff’s request, the Company is using the representative example from the Company’s August 2, 2013 response to the Staff’s letter dated July 23, 2013 to illustrate how the yield does not change after a loan is removed from the pool at an allocated carrying value. Table 1 from the Company’s August 2, 2013 response, reproduced below for the Staff’s convenience, presents an overview of the assumptions used in the example: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3960" w:type="dxa"/>
            <w:vAlign w:val="bottom"/>
            <w:tcBorders>
              <w:bottom w:val="single" w:sz="8" w:color="auto"/>
            </w:tcBorders>
          </w:tcPr>
          <w:p>
            <w:pPr>
              <w:spacing w:after="0"/>
              <w:rPr>
                <w:sz w:val="23"/>
                <w:szCs w:val="23"/>
                <w:color w:val="auto"/>
              </w:rPr>
            </w:pPr>
          </w:p>
        </w:tc>
        <w:tc>
          <w:tcPr>
            <w:tcW w:w="6500" w:type="dxa"/>
            <w:vAlign w:val="bottom"/>
            <w:tcBorders>
              <w:bottom w:val="single" w:sz="8" w:color="auto"/>
            </w:tcBorders>
          </w:tcPr>
          <w:p>
            <w:pPr>
              <w:jc w:val="right"/>
              <w:ind w:right="3313"/>
              <w:spacing w:after="0"/>
              <w:rPr>
                <w:sz w:val="20"/>
                <w:szCs w:val="20"/>
                <w:color w:val="auto"/>
              </w:rPr>
            </w:pPr>
            <w:r>
              <w:rPr>
                <w:rFonts w:ascii="Arial" w:cs="Arial" w:eastAsia="Arial" w:hAnsi="Arial"/>
                <w:sz w:val="21"/>
                <w:szCs w:val="21"/>
                <w:b w:val="1"/>
                <w:bCs w:val="1"/>
                <w:color w:val="auto"/>
                <w:w w:val="98"/>
              </w:rPr>
              <w:t>Table 1 – Original Expectations</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shd w:val="clear" w:color="auto" w:fill="CCEEFF"/>
          </w:tcPr>
          <w:p>
            <w:pPr>
              <w:spacing w:after="0" w:line="233" w:lineRule="exact"/>
              <w:rPr>
                <w:sz w:val="20"/>
                <w:szCs w:val="20"/>
                <w:color w:val="auto"/>
              </w:rPr>
            </w:pPr>
            <w:r>
              <w:rPr>
                <w:rFonts w:ascii="Arial" w:cs="Arial" w:eastAsia="Arial" w:hAnsi="Arial"/>
                <w:sz w:val="21"/>
                <w:szCs w:val="21"/>
                <w:color w:val="auto"/>
              </w:rPr>
              <w:t>Contractual cash flows</w:t>
            </w:r>
          </w:p>
        </w:tc>
        <w:tc>
          <w:tcPr>
            <w:tcW w:w="6500" w:type="dxa"/>
            <w:vAlign w:val="bottom"/>
            <w:shd w:val="clear" w:color="auto" w:fill="CCEEFF"/>
          </w:tcPr>
          <w:p>
            <w:pPr>
              <w:jc w:val="right"/>
              <w:ind w:right="173"/>
              <w:spacing w:after="0" w:line="233" w:lineRule="exact"/>
              <w:rPr>
                <w:sz w:val="20"/>
                <w:szCs w:val="20"/>
                <w:color w:val="auto"/>
              </w:rPr>
            </w:pPr>
            <w:r>
              <w:rPr>
                <w:rFonts w:ascii="Arial" w:cs="Arial" w:eastAsia="Arial" w:hAnsi="Arial"/>
                <w:sz w:val="21"/>
                <w:szCs w:val="21"/>
                <w:color w:val="auto"/>
              </w:rPr>
              <w:t>$</w:t>
            </w:r>
          </w:p>
        </w:tc>
        <w:tc>
          <w:tcPr>
            <w:tcW w:w="940" w:type="dxa"/>
            <w:vAlign w:val="bottom"/>
            <w:shd w:val="clear" w:color="auto" w:fill="CCEEFF"/>
          </w:tcPr>
          <w:p>
            <w:pPr>
              <w:jc w:val="right"/>
              <w:ind w:right="73"/>
              <w:spacing w:after="0" w:line="233" w:lineRule="exact"/>
              <w:rPr>
                <w:sz w:val="20"/>
                <w:szCs w:val="20"/>
                <w:color w:val="auto"/>
              </w:rPr>
            </w:pPr>
            <w:r>
              <w:rPr>
                <w:rFonts w:ascii="Arial" w:cs="Arial" w:eastAsia="Arial" w:hAnsi="Arial"/>
                <w:sz w:val="21"/>
                <w:szCs w:val="21"/>
                <w:color w:val="auto"/>
              </w:rPr>
              <w:t>1,000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tcPr>
          <w:p>
            <w:pPr>
              <w:spacing w:after="0" w:line="240" w:lineRule="exact"/>
              <w:rPr>
                <w:sz w:val="20"/>
                <w:szCs w:val="20"/>
                <w:color w:val="auto"/>
              </w:rPr>
            </w:pPr>
            <w:r>
              <w:rPr>
                <w:rFonts w:ascii="Arial" w:cs="Arial" w:eastAsia="Arial" w:hAnsi="Arial"/>
                <w:sz w:val="21"/>
                <w:szCs w:val="21"/>
                <w:color w:val="auto"/>
              </w:rPr>
              <w:t>Nonaccretable difference</w:t>
            </w:r>
          </w:p>
        </w:tc>
        <w:tc>
          <w:tcPr>
            <w:tcW w:w="6500" w:type="dxa"/>
            <w:vAlign w:val="bottom"/>
          </w:tcPr>
          <w:p>
            <w:pPr>
              <w:jc w:val="right"/>
              <w:ind w:right="173"/>
              <w:spacing w:after="0" w:line="240" w:lineRule="exact"/>
              <w:rPr>
                <w:sz w:val="20"/>
                <w:szCs w:val="20"/>
                <w:color w:val="auto"/>
              </w:rPr>
            </w:pPr>
            <w:r>
              <w:rPr>
                <w:rFonts w:ascii="Arial" w:cs="Arial" w:eastAsia="Arial" w:hAnsi="Arial"/>
                <w:sz w:val="21"/>
                <w:szCs w:val="21"/>
                <w:color w:val="auto"/>
              </w:rPr>
              <w:t>$</w:t>
            </w:r>
          </w:p>
        </w:tc>
        <w:tc>
          <w:tcPr>
            <w:tcW w:w="940" w:type="dxa"/>
            <w:vAlign w:val="bottom"/>
          </w:tcPr>
          <w:p>
            <w:pPr>
              <w:jc w:val="right"/>
              <w:ind w:right="13"/>
              <w:spacing w:after="0" w:line="240" w:lineRule="exact"/>
              <w:rPr>
                <w:sz w:val="20"/>
                <w:szCs w:val="20"/>
                <w:color w:val="auto"/>
              </w:rPr>
            </w:pPr>
            <w:r>
              <w:rPr>
                <w:rFonts w:ascii="Arial" w:cs="Arial" w:eastAsia="Arial" w:hAnsi="Arial"/>
                <w:sz w:val="21"/>
                <w:szCs w:val="21"/>
                <w:color w:val="auto"/>
              </w:rPr>
              <w:t>(450)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spacing w:after="0" w:line="240" w:lineRule="exact"/>
              <w:rPr>
                <w:sz w:val="20"/>
                <w:szCs w:val="20"/>
                <w:color w:val="auto"/>
              </w:rPr>
            </w:pPr>
            <w:r>
              <w:rPr>
                <w:rFonts w:ascii="Arial" w:cs="Arial" w:eastAsia="Arial" w:hAnsi="Arial"/>
                <w:sz w:val="21"/>
                <w:szCs w:val="21"/>
                <w:color w:val="auto"/>
              </w:rPr>
              <w:t>Expected cash flows</w:t>
            </w:r>
          </w:p>
        </w:tc>
        <w:tc>
          <w:tcPr>
            <w:tcW w:w="6500" w:type="dxa"/>
            <w:vAlign w:val="bottom"/>
            <w:shd w:val="clear" w:color="auto" w:fill="CCEEFF"/>
          </w:tcPr>
          <w:p>
            <w:pPr>
              <w:jc w:val="right"/>
              <w:ind w:right="173"/>
              <w:spacing w:after="0" w:line="240" w:lineRule="exact"/>
              <w:rPr>
                <w:sz w:val="20"/>
                <w:szCs w:val="20"/>
                <w:color w:val="auto"/>
              </w:rPr>
            </w:pPr>
            <w:r>
              <w:rPr>
                <w:rFonts w:ascii="Arial" w:cs="Arial" w:eastAsia="Arial" w:hAnsi="Arial"/>
                <w:sz w:val="21"/>
                <w:szCs w:val="21"/>
                <w:color w:val="auto"/>
              </w:rPr>
              <w:t>$</w:t>
            </w:r>
          </w:p>
        </w:tc>
        <w:tc>
          <w:tcPr>
            <w:tcW w:w="940" w:type="dxa"/>
            <w:vAlign w:val="bottom"/>
            <w:shd w:val="clear" w:color="auto" w:fill="CCEEFF"/>
          </w:tcPr>
          <w:p>
            <w:pPr>
              <w:jc w:val="right"/>
              <w:ind w:right="73"/>
              <w:spacing w:after="0" w:line="240" w:lineRule="exact"/>
              <w:rPr>
                <w:sz w:val="20"/>
                <w:szCs w:val="20"/>
                <w:color w:val="auto"/>
              </w:rPr>
            </w:pPr>
            <w:r>
              <w:rPr>
                <w:rFonts w:ascii="Arial" w:cs="Arial" w:eastAsia="Arial" w:hAnsi="Arial"/>
                <w:sz w:val="21"/>
                <w:szCs w:val="21"/>
                <w:color w:val="auto"/>
              </w:rPr>
              <w:t>550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tcPr>
          <w:p>
            <w:pPr>
              <w:spacing w:after="0" w:line="240" w:lineRule="exact"/>
              <w:rPr>
                <w:sz w:val="20"/>
                <w:szCs w:val="20"/>
                <w:color w:val="auto"/>
              </w:rPr>
            </w:pPr>
            <w:r>
              <w:rPr>
                <w:rFonts w:ascii="Arial" w:cs="Arial" w:eastAsia="Arial" w:hAnsi="Arial"/>
                <w:sz w:val="21"/>
                <w:szCs w:val="21"/>
                <w:color w:val="auto"/>
              </w:rPr>
              <w:t>Accretable yield</w:t>
            </w:r>
          </w:p>
        </w:tc>
        <w:tc>
          <w:tcPr>
            <w:tcW w:w="6500" w:type="dxa"/>
            <w:vAlign w:val="bottom"/>
          </w:tcPr>
          <w:p>
            <w:pPr>
              <w:jc w:val="right"/>
              <w:ind w:right="173"/>
              <w:spacing w:after="0" w:line="240" w:lineRule="exact"/>
              <w:rPr>
                <w:sz w:val="20"/>
                <w:szCs w:val="20"/>
                <w:color w:val="auto"/>
              </w:rPr>
            </w:pPr>
            <w:r>
              <w:rPr>
                <w:rFonts w:ascii="Arial" w:cs="Arial" w:eastAsia="Arial" w:hAnsi="Arial"/>
                <w:sz w:val="21"/>
                <w:szCs w:val="21"/>
                <w:color w:val="auto"/>
              </w:rPr>
              <w:t>$</w:t>
            </w:r>
          </w:p>
        </w:tc>
        <w:tc>
          <w:tcPr>
            <w:tcW w:w="940" w:type="dxa"/>
            <w:vAlign w:val="bottom"/>
          </w:tcPr>
          <w:p>
            <w:pPr>
              <w:jc w:val="right"/>
              <w:ind w:right="13"/>
              <w:spacing w:after="0" w:line="240" w:lineRule="exact"/>
              <w:rPr>
                <w:sz w:val="20"/>
                <w:szCs w:val="20"/>
                <w:color w:val="auto"/>
              </w:rPr>
            </w:pPr>
            <w:r>
              <w:rPr>
                <w:rFonts w:ascii="Arial" w:cs="Arial" w:eastAsia="Arial" w:hAnsi="Arial"/>
                <w:sz w:val="21"/>
                <w:szCs w:val="21"/>
                <w:color w:val="auto"/>
              </w:rPr>
              <w:t>(400)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spacing w:after="0" w:line="240" w:lineRule="exact"/>
              <w:rPr>
                <w:sz w:val="20"/>
                <w:szCs w:val="20"/>
                <w:color w:val="auto"/>
              </w:rPr>
            </w:pPr>
            <w:r>
              <w:rPr>
                <w:rFonts w:ascii="Arial" w:cs="Arial" w:eastAsia="Arial" w:hAnsi="Arial"/>
                <w:sz w:val="21"/>
                <w:szCs w:val="21"/>
                <w:color w:val="auto"/>
              </w:rPr>
              <w:t>Carrying value</w:t>
            </w:r>
          </w:p>
        </w:tc>
        <w:tc>
          <w:tcPr>
            <w:tcW w:w="6500" w:type="dxa"/>
            <w:vAlign w:val="bottom"/>
            <w:shd w:val="clear" w:color="auto" w:fill="CCEEFF"/>
          </w:tcPr>
          <w:p>
            <w:pPr>
              <w:jc w:val="right"/>
              <w:ind w:right="173"/>
              <w:spacing w:after="0" w:line="240" w:lineRule="exact"/>
              <w:rPr>
                <w:sz w:val="20"/>
                <w:szCs w:val="20"/>
                <w:color w:val="auto"/>
              </w:rPr>
            </w:pPr>
            <w:r>
              <w:rPr>
                <w:rFonts w:ascii="Arial" w:cs="Arial" w:eastAsia="Arial" w:hAnsi="Arial"/>
                <w:sz w:val="21"/>
                <w:szCs w:val="21"/>
                <w:color w:val="auto"/>
              </w:rPr>
              <w:t>$</w:t>
            </w:r>
          </w:p>
        </w:tc>
        <w:tc>
          <w:tcPr>
            <w:tcW w:w="940" w:type="dxa"/>
            <w:vAlign w:val="bottom"/>
            <w:shd w:val="clear" w:color="auto" w:fill="CCEEFF"/>
          </w:tcPr>
          <w:p>
            <w:pPr>
              <w:jc w:val="right"/>
              <w:ind w:right="73"/>
              <w:spacing w:after="0" w:line="240" w:lineRule="exact"/>
              <w:rPr>
                <w:sz w:val="20"/>
                <w:szCs w:val="20"/>
                <w:color w:val="auto"/>
              </w:rPr>
            </w:pPr>
            <w:r>
              <w:rPr>
                <w:rFonts w:ascii="Arial" w:cs="Arial" w:eastAsia="Arial" w:hAnsi="Arial"/>
                <w:sz w:val="21"/>
                <w:szCs w:val="21"/>
                <w:color w:val="auto"/>
              </w:rPr>
              <w:t>150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tcPr>
          <w:p>
            <w:pPr>
              <w:spacing w:after="0" w:line="240" w:lineRule="exact"/>
              <w:rPr>
                <w:sz w:val="20"/>
                <w:szCs w:val="20"/>
                <w:color w:val="auto"/>
              </w:rPr>
            </w:pPr>
            <w:r>
              <w:rPr>
                <w:rFonts w:ascii="Arial" w:cs="Arial" w:eastAsia="Arial" w:hAnsi="Arial"/>
                <w:sz w:val="21"/>
                <w:szCs w:val="21"/>
                <w:color w:val="auto"/>
              </w:rPr>
              <w:t>Nonaccretable discount percentage</w:t>
            </w:r>
          </w:p>
        </w:tc>
        <w:tc>
          <w:tcPr>
            <w:tcW w:w="6500" w:type="dxa"/>
            <w:vAlign w:val="bottom"/>
          </w:tcPr>
          <w:p>
            <w:pPr>
              <w:spacing w:after="0"/>
              <w:rPr>
                <w:sz w:val="20"/>
                <w:szCs w:val="20"/>
                <w:color w:val="auto"/>
              </w:rPr>
            </w:pPr>
          </w:p>
        </w:tc>
        <w:tc>
          <w:tcPr>
            <w:tcW w:w="940" w:type="dxa"/>
            <w:vAlign w:val="bottom"/>
          </w:tcPr>
          <w:p>
            <w:pPr>
              <w:jc w:val="right"/>
              <w:spacing w:after="0" w:line="240" w:lineRule="exact"/>
              <w:rPr>
                <w:sz w:val="20"/>
                <w:szCs w:val="20"/>
                <w:color w:val="auto"/>
              </w:rPr>
            </w:pPr>
            <w:r>
              <w:rPr>
                <w:rFonts w:ascii="Arial" w:cs="Arial" w:eastAsia="Arial" w:hAnsi="Arial"/>
                <w:sz w:val="21"/>
                <w:szCs w:val="21"/>
                <w:color w:val="auto"/>
              </w:rPr>
              <w:t>45%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spacing w:after="0" w:line="240" w:lineRule="exact"/>
              <w:rPr>
                <w:sz w:val="20"/>
                <w:szCs w:val="20"/>
                <w:color w:val="auto"/>
              </w:rPr>
            </w:pPr>
            <w:r>
              <w:rPr>
                <w:rFonts w:ascii="Arial" w:cs="Arial" w:eastAsia="Arial" w:hAnsi="Arial"/>
                <w:sz w:val="21"/>
                <w:szCs w:val="21"/>
                <w:color w:val="auto"/>
              </w:rPr>
              <w:t>Accretion rate</w:t>
            </w:r>
          </w:p>
        </w:tc>
        <w:tc>
          <w:tcPr>
            <w:tcW w:w="6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81%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3960" w:type="dxa"/>
            <w:vAlign w:val="bottom"/>
            <w:shd w:val="clear" w:color="auto" w:fill="CCEEFF"/>
          </w:tcPr>
          <w:p>
            <w:pPr>
              <w:spacing w:after="0" w:line="240" w:lineRule="exact"/>
              <w:rPr>
                <w:sz w:val="20"/>
                <w:szCs w:val="20"/>
                <w:color w:val="auto"/>
              </w:rPr>
            </w:pPr>
            <w:r>
              <w:rPr>
                <w:rFonts w:ascii="Arial" w:cs="Arial" w:eastAsia="Arial" w:hAnsi="Arial"/>
                <w:sz w:val="21"/>
                <w:szCs w:val="21"/>
                <w:color w:val="auto"/>
              </w:rPr>
              <w:t>Expected sale UPB</w:t>
            </w:r>
          </w:p>
        </w:tc>
        <w:tc>
          <w:tcPr>
            <w:tcW w:w="6500" w:type="dxa"/>
            <w:vAlign w:val="bottom"/>
            <w:shd w:val="clear" w:color="auto" w:fill="CCEEFF"/>
          </w:tcPr>
          <w:p>
            <w:pPr>
              <w:jc w:val="right"/>
              <w:ind w:right="173"/>
              <w:spacing w:after="0" w:line="240" w:lineRule="exact"/>
              <w:rPr>
                <w:sz w:val="20"/>
                <w:szCs w:val="20"/>
                <w:color w:val="auto"/>
              </w:rPr>
            </w:pPr>
            <w:r>
              <w:rPr>
                <w:rFonts w:ascii="Arial" w:cs="Arial" w:eastAsia="Arial" w:hAnsi="Arial"/>
                <w:sz w:val="21"/>
                <w:szCs w:val="21"/>
                <w:color w:val="auto"/>
              </w:rPr>
              <w:t>$</w:t>
            </w:r>
          </w:p>
        </w:tc>
        <w:tc>
          <w:tcPr>
            <w:tcW w:w="940" w:type="dxa"/>
            <w:vAlign w:val="bottom"/>
            <w:shd w:val="clear" w:color="auto" w:fill="CCEEFF"/>
          </w:tcPr>
          <w:p>
            <w:pPr>
              <w:jc w:val="right"/>
              <w:ind w:right="73"/>
              <w:spacing w:after="0" w:line="240" w:lineRule="exact"/>
              <w:rPr>
                <w:sz w:val="20"/>
                <w:szCs w:val="20"/>
                <w:color w:val="auto"/>
              </w:rPr>
            </w:pPr>
            <w:r>
              <w:rPr>
                <w:rFonts w:ascii="Arial" w:cs="Arial" w:eastAsia="Arial" w:hAnsi="Arial"/>
                <w:sz w:val="21"/>
                <w:szCs w:val="21"/>
                <w:color w:val="auto"/>
              </w:rPr>
              <w:t>545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tcPr>
          <w:p>
            <w:pPr>
              <w:spacing w:after="0" w:line="240" w:lineRule="exact"/>
              <w:rPr>
                <w:sz w:val="20"/>
                <w:szCs w:val="20"/>
                <w:color w:val="auto"/>
              </w:rPr>
            </w:pPr>
            <w:r>
              <w:rPr>
                <w:rFonts w:ascii="Arial" w:cs="Arial" w:eastAsia="Arial" w:hAnsi="Arial"/>
                <w:sz w:val="21"/>
                <w:szCs w:val="21"/>
                <w:color w:val="auto"/>
              </w:rPr>
              <w:t>Expected cash flow from sale</w:t>
            </w:r>
          </w:p>
        </w:tc>
        <w:tc>
          <w:tcPr>
            <w:tcW w:w="6500" w:type="dxa"/>
            <w:vAlign w:val="bottom"/>
          </w:tcPr>
          <w:p>
            <w:pPr>
              <w:jc w:val="right"/>
              <w:ind w:right="173"/>
              <w:spacing w:after="0" w:line="240" w:lineRule="exact"/>
              <w:rPr>
                <w:sz w:val="20"/>
                <w:szCs w:val="20"/>
                <w:color w:val="auto"/>
              </w:rPr>
            </w:pPr>
            <w:r>
              <w:rPr>
                <w:rFonts w:ascii="Arial" w:cs="Arial" w:eastAsia="Arial" w:hAnsi="Arial"/>
                <w:sz w:val="21"/>
                <w:szCs w:val="21"/>
                <w:color w:val="auto"/>
              </w:rPr>
              <w:t>$</w:t>
            </w:r>
          </w:p>
        </w:tc>
        <w:tc>
          <w:tcPr>
            <w:tcW w:w="940" w:type="dxa"/>
            <w:vAlign w:val="bottom"/>
          </w:tcPr>
          <w:p>
            <w:pPr>
              <w:jc w:val="right"/>
              <w:ind w:right="73"/>
              <w:spacing w:after="0" w:line="240" w:lineRule="exact"/>
              <w:rPr>
                <w:sz w:val="20"/>
                <w:szCs w:val="20"/>
                <w:color w:val="auto"/>
              </w:rPr>
            </w:pPr>
            <w:r>
              <w:rPr>
                <w:rFonts w:ascii="Arial" w:cs="Arial" w:eastAsia="Arial" w:hAnsi="Arial"/>
                <w:sz w:val="21"/>
                <w:szCs w:val="21"/>
                <w:color w:val="auto"/>
              </w:rPr>
              <w:t>300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spacing w:after="0" w:line="240" w:lineRule="exact"/>
              <w:rPr>
                <w:sz w:val="20"/>
                <w:szCs w:val="20"/>
                <w:color w:val="auto"/>
              </w:rPr>
            </w:pPr>
            <w:r>
              <w:rPr>
                <w:rFonts w:ascii="Arial" w:cs="Arial" w:eastAsia="Arial" w:hAnsi="Arial"/>
                <w:sz w:val="21"/>
                <w:szCs w:val="21"/>
                <w:color w:val="auto"/>
              </w:rPr>
              <w:t>Expected annual UPB of resolutions</w:t>
            </w:r>
          </w:p>
        </w:tc>
        <w:tc>
          <w:tcPr>
            <w:tcW w:w="6500" w:type="dxa"/>
            <w:vAlign w:val="bottom"/>
            <w:shd w:val="clear" w:color="auto" w:fill="CCEEFF"/>
          </w:tcPr>
          <w:p>
            <w:pPr>
              <w:jc w:val="right"/>
              <w:ind w:right="173"/>
              <w:spacing w:after="0" w:line="240" w:lineRule="exact"/>
              <w:rPr>
                <w:sz w:val="20"/>
                <w:szCs w:val="20"/>
                <w:color w:val="auto"/>
              </w:rPr>
            </w:pPr>
            <w:r>
              <w:rPr>
                <w:rFonts w:ascii="Arial" w:cs="Arial" w:eastAsia="Arial" w:hAnsi="Arial"/>
                <w:sz w:val="21"/>
                <w:szCs w:val="21"/>
                <w:color w:val="auto"/>
              </w:rPr>
              <w:t>$</w:t>
            </w:r>
          </w:p>
        </w:tc>
        <w:tc>
          <w:tcPr>
            <w:tcW w:w="940" w:type="dxa"/>
            <w:vAlign w:val="bottom"/>
            <w:shd w:val="clear" w:color="auto" w:fill="CCEEFF"/>
          </w:tcPr>
          <w:p>
            <w:pPr>
              <w:jc w:val="right"/>
              <w:ind w:right="73"/>
              <w:spacing w:after="0" w:line="240" w:lineRule="exact"/>
              <w:rPr>
                <w:sz w:val="20"/>
                <w:szCs w:val="20"/>
                <w:color w:val="auto"/>
              </w:rPr>
            </w:pPr>
            <w:r>
              <w:rPr>
                <w:rFonts w:ascii="Arial" w:cs="Arial" w:eastAsia="Arial" w:hAnsi="Arial"/>
                <w:sz w:val="21"/>
                <w:szCs w:val="21"/>
                <w:color w:val="auto"/>
              </w:rPr>
              <w:t>91</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21"/>
                <w:szCs w:val="21"/>
                <w:color w:val="auto"/>
                <w:w w:val="97"/>
              </w:rPr>
              <w:t>Expected annual cash flow from resolutions</w:t>
            </w:r>
          </w:p>
        </w:tc>
        <w:tc>
          <w:tcPr>
            <w:tcW w:w="6500" w:type="dxa"/>
            <w:vAlign w:val="bottom"/>
          </w:tcPr>
          <w:p>
            <w:pPr>
              <w:jc w:val="right"/>
              <w:ind w:right="173"/>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73"/>
              <w:spacing w:after="0"/>
              <w:rPr>
                <w:sz w:val="20"/>
                <w:szCs w:val="20"/>
                <w:color w:val="auto"/>
              </w:rPr>
            </w:pPr>
            <w:r>
              <w:rPr>
                <w:rFonts w:ascii="Arial" w:cs="Arial" w:eastAsia="Arial" w:hAnsi="Arial"/>
                <w:sz w:val="21"/>
                <w:szCs w:val="21"/>
                <w:color w:val="auto"/>
              </w:rPr>
              <w:t>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1280"/>
        <w:spacing w:after="0" w:line="253" w:lineRule="auto"/>
        <w:rPr>
          <w:sz w:val="20"/>
          <w:szCs w:val="20"/>
          <w:color w:val="auto"/>
        </w:rPr>
      </w:pPr>
      <w:r>
        <w:rPr>
          <w:rFonts w:ascii="Arial" w:cs="Arial" w:eastAsia="Arial" w:hAnsi="Arial"/>
          <w:sz w:val="21"/>
          <w:szCs w:val="21"/>
          <w:color w:val="auto"/>
        </w:rPr>
        <w:t>Table 2, reproduced below from the Company’s August 2, 2013 response for the Staff’s convenience, presents expected cash flows, expected loss, and expected changes in UPB by year, as well as the impact on carrying value of the pool by year if cash flows occur as originally expected over the life of the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523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4</w:t>
      </w: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 xml:space="preserve">Table 2 – Cash Flow Forecast and Expected Rollforward of Carrying Value </w:t>
      </w:r>
      <w:r>
        <w:rPr>
          <w:rFonts w:ascii="Arial" w:cs="Arial" w:eastAsia="Arial" w:hAnsi="Arial"/>
          <w:sz w:val="14"/>
          <w:szCs w:val="14"/>
          <w:b w:val="1"/>
          <w:bCs w:val="1"/>
          <w:color w:val="auto"/>
        </w:rPr>
        <w:t>(1)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120"/>
              <w:spacing w:after="0" w:line="212" w:lineRule="exact"/>
              <w:rPr>
                <w:sz w:val="20"/>
                <w:szCs w:val="20"/>
                <w:color w:val="auto"/>
              </w:rPr>
            </w:pPr>
            <w:r>
              <w:rPr>
                <w:rFonts w:ascii="Arial" w:cs="Arial" w:eastAsia="Arial" w:hAnsi="Arial"/>
                <w:sz w:val="21"/>
                <w:szCs w:val="21"/>
                <w:color w:val="auto"/>
              </w:rPr>
              <w:t>CV of</w:t>
            </w:r>
          </w:p>
        </w:tc>
        <w:tc>
          <w:tcPr>
            <w:tcW w:w="6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
              <w:spacing w:after="0" w:line="212" w:lineRule="exact"/>
              <w:rPr>
                <w:sz w:val="20"/>
                <w:szCs w:val="20"/>
                <w:color w:val="auto"/>
              </w:rPr>
            </w:pPr>
            <w:r>
              <w:rPr>
                <w:rFonts w:ascii="Arial" w:cs="Arial" w:eastAsia="Arial" w:hAnsi="Arial"/>
                <w:sz w:val="21"/>
                <w:szCs w:val="21"/>
                <w:color w:val="auto"/>
              </w:rPr>
              <w:t>Ending</w:t>
            </w:r>
          </w:p>
        </w:tc>
        <w:tc>
          <w:tcPr>
            <w:tcW w:w="460" w:type="dxa"/>
            <w:vAlign w:val="bottom"/>
            <w:tcBorders>
              <w:top w:val="single" w:sz="8" w:color="auto"/>
            </w:tcBorders>
          </w:tcPr>
          <w:p>
            <w:pPr>
              <w:spacing w:after="0"/>
              <w:rPr>
                <w:sz w:val="18"/>
                <w:szCs w:val="18"/>
                <w:color w:val="auto"/>
              </w:rPr>
            </w:pPr>
          </w:p>
        </w:tc>
      </w:tr>
      <w:tr>
        <w:trPr>
          <w:trHeight w:val="240"/>
        </w:trPr>
        <w:tc>
          <w:tcPr>
            <w:tcW w:w="1900" w:type="dxa"/>
            <w:vAlign w:val="bottom"/>
          </w:tcPr>
          <w:p>
            <w:pPr>
              <w:spacing w:after="0"/>
              <w:rPr>
                <w:sz w:val="20"/>
                <w:szCs w:val="20"/>
                <w:color w:val="auto"/>
              </w:rPr>
            </w:pPr>
          </w:p>
        </w:tc>
        <w:tc>
          <w:tcPr>
            <w:tcW w:w="880" w:type="dxa"/>
            <w:vAlign w:val="bottom"/>
          </w:tcPr>
          <w:p>
            <w:pPr>
              <w:ind w:left="60"/>
              <w:spacing w:after="0" w:line="240" w:lineRule="exact"/>
              <w:rPr>
                <w:sz w:val="20"/>
                <w:szCs w:val="20"/>
                <w:color w:val="auto"/>
              </w:rPr>
            </w:pPr>
            <w:r>
              <w:rPr>
                <w:rFonts w:ascii="Arial" w:cs="Arial" w:eastAsia="Arial" w:hAnsi="Arial"/>
                <w:sz w:val="21"/>
                <w:szCs w:val="21"/>
                <w:color w:val="auto"/>
                <w:w w:val="91"/>
              </w:rPr>
              <w:t>Expected</w:t>
            </w:r>
          </w:p>
        </w:tc>
        <w:tc>
          <w:tcPr>
            <w:tcW w:w="460" w:type="dxa"/>
            <w:vAlign w:val="bottom"/>
          </w:tcPr>
          <w:p>
            <w:pPr>
              <w:spacing w:after="0"/>
              <w:rPr>
                <w:sz w:val="20"/>
                <w:szCs w:val="20"/>
                <w:color w:val="auto"/>
              </w:rPr>
            </w:pPr>
          </w:p>
        </w:tc>
        <w:tc>
          <w:tcPr>
            <w:tcW w:w="940" w:type="dxa"/>
            <w:vAlign w:val="bottom"/>
          </w:tcPr>
          <w:p>
            <w:pPr>
              <w:ind w:left="120"/>
              <w:spacing w:after="0" w:line="240" w:lineRule="exact"/>
              <w:rPr>
                <w:sz w:val="20"/>
                <w:szCs w:val="20"/>
                <w:color w:val="auto"/>
              </w:rPr>
            </w:pPr>
            <w:r>
              <w:rPr>
                <w:rFonts w:ascii="Arial" w:cs="Arial" w:eastAsia="Arial" w:hAnsi="Arial"/>
                <w:sz w:val="21"/>
                <w:szCs w:val="21"/>
                <w:color w:val="auto"/>
                <w:w w:val="91"/>
              </w:rPr>
              <w:t>Expected</w:t>
            </w:r>
          </w:p>
        </w:tc>
        <w:tc>
          <w:tcPr>
            <w:tcW w:w="460" w:type="dxa"/>
            <w:vAlign w:val="bottom"/>
          </w:tcPr>
          <w:p>
            <w:pPr>
              <w:spacing w:after="0"/>
              <w:rPr>
                <w:sz w:val="20"/>
                <w:szCs w:val="20"/>
                <w:color w:val="auto"/>
              </w:rPr>
            </w:pPr>
          </w:p>
        </w:tc>
        <w:tc>
          <w:tcPr>
            <w:tcW w:w="1420" w:type="dxa"/>
            <w:vAlign w:val="bottom"/>
            <w:tcBorders>
              <w:right w:val="single" w:sz="8" w:color="auto"/>
            </w:tcBorders>
            <w:gridSpan w:val="2"/>
          </w:tcPr>
          <w:p>
            <w:pPr>
              <w:ind w:left="120"/>
              <w:spacing w:after="0" w:line="240" w:lineRule="exact"/>
              <w:rPr>
                <w:sz w:val="20"/>
                <w:szCs w:val="20"/>
                <w:color w:val="auto"/>
              </w:rPr>
            </w:pPr>
            <w:r>
              <w:rPr>
                <w:rFonts w:ascii="Arial" w:cs="Arial" w:eastAsia="Arial" w:hAnsi="Arial"/>
                <w:sz w:val="21"/>
                <w:szCs w:val="21"/>
                <w:color w:val="auto"/>
              </w:rPr>
              <w:t>Change in</w:t>
            </w:r>
          </w:p>
        </w:tc>
        <w:tc>
          <w:tcPr>
            <w:tcW w:w="1320" w:type="dxa"/>
            <w:vAlign w:val="bottom"/>
            <w:gridSpan w:val="2"/>
          </w:tcPr>
          <w:p>
            <w:pPr>
              <w:ind w:left="80"/>
              <w:spacing w:after="0" w:line="240" w:lineRule="exact"/>
              <w:rPr>
                <w:sz w:val="20"/>
                <w:szCs w:val="20"/>
                <w:color w:val="auto"/>
              </w:rPr>
            </w:pPr>
            <w:r>
              <w:rPr>
                <w:rFonts w:ascii="Arial" w:cs="Arial" w:eastAsia="Arial" w:hAnsi="Arial"/>
                <w:sz w:val="21"/>
                <w:szCs w:val="21"/>
                <w:color w:val="auto"/>
              </w:rPr>
              <w:t>Beginning</w:t>
            </w:r>
          </w:p>
        </w:tc>
        <w:tc>
          <w:tcPr>
            <w:tcW w:w="1340" w:type="dxa"/>
            <w:vAlign w:val="bottom"/>
            <w:gridSpan w:val="2"/>
          </w:tcPr>
          <w:p>
            <w:pPr>
              <w:ind w:left="100"/>
              <w:spacing w:after="0" w:line="240" w:lineRule="exact"/>
              <w:rPr>
                <w:sz w:val="20"/>
                <w:szCs w:val="20"/>
                <w:color w:val="auto"/>
              </w:rPr>
            </w:pPr>
            <w:r>
              <w:rPr>
                <w:rFonts w:ascii="Arial" w:cs="Arial" w:eastAsia="Arial" w:hAnsi="Arial"/>
                <w:sz w:val="21"/>
                <w:szCs w:val="21"/>
                <w:color w:val="auto"/>
              </w:rPr>
              <w:t>Accretion</w:t>
            </w:r>
          </w:p>
        </w:tc>
        <w:tc>
          <w:tcPr>
            <w:tcW w:w="1400" w:type="dxa"/>
            <w:vAlign w:val="bottom"/>
            <w:gridSpan w:val="2"/>
          </w:tcPr>
          <w:p>
            <w:pPr>
              <w:ind w:left="120"/>
              <w:spacing w:after="0" w:line="240" w:lineRule="exact"/>
              <w:rPr>
                <w:sz w:val="20"/>
                <w:szCs w:val="20"/>
                <w:color w:val="auto"/>
              </w:rPr>
            </w:pPr>
            <w:r>
              <w:rPr>
                <w:rFonts w:ascii="Arial" w:cs="Arial" w:eastAsia="Arial" w:hAnsi="Arial"/>
                <w:sz w:val="21"/>
                <w:szCs w:val="21"/>
                <w:color w:val="auto"/>
              </w:rPr>
              <w:t>Resolved</w:t>
            </w:r>
          </w:p>
        </w:tc>
        <w:tc>
          <w:tcPr>
            <w:tcW w:w="840" w:type="dxa"/>
            <w:vAlign w:val="bottom"/>
          </w:tcPr>
          <w:p>
            <w:pPr>
              <w:ind w:left="60"/>
              <w:spacing w:after="0" w:line="240" w:lineRule="exact"/>
              <w:rPr>
                <w:sz w:val="20"/>
                <w:szCs w:val="20"/>
                <w:color w:val="auto"/>
              </w:rPr>
            </w:pPr>
            <w:r>
              <w:rPr>
                <w:rFonts w:ascii="Arial" w:cs="Arial" w:eastAsia="Arial" w:hAnsi="Arial"/>
                <w:sz w:val="21"/>
                <w:szCs w:val="21"/>
                <w:color w:val="auto"/>
                <w:w w:val="95"/>
              </w:rPr>
              <w:t>Carrying</w:t>
            </w:r>
          </w:p>
        </w:tc>
        <w:tc>
          <w:tcPr>
            <w:tcW w:w="460" w:type="dxa"/>
            <w:vAlign w:val="bottom"/>
          </w:tcPr>
          <w:p>
            <w:pPr>
              <w:spacing w:after="0"/>
              <w:rPr>
                <w:sz w:val="20"/>
                <w:szCs w:val="20"/>
                <w:color w:val="auto"/>
              </w:rPr>
            </w:pPr>
          </w:p>
        </w:tc>
      </w:tr>
      <w:tr>
        <w:trPr>
          <w:trHeight w:val="261"/>
        </w:trPr>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Year</w:t>
            </w: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Cash Flows</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Loss</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UPB</w:t>
            </w:r>
          </w:p>
        </w:tc>
        <w:tc>
          <w:tcPr>
            <w:tcW w:w="76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Carry Value</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(2)</w:t>
            </w: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Loans</w:t>
            </w:r>
          </w:p>
        </w:tc>
        <w:tc>
          <w:tcPr>
            <w:tcW w:w="6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Value</w:t>
            </w:r>
          </w:p>
        </w:tc>
        <w:tc>
          <w:tcPr>
            <w:tcW w:w="460" w:type="dxa"/>
            <w:vAlign w:val="bottom"/>
            <w:tcBorders>
              <w:bottom w:val="single" w:sz="8" w:color="auto"/>
            </w:tcBorders>
          </w:tcPr>
          <w:p>
            <w:pPr>
              <w:spacing w:after="0"/>
              <w:rPr>
                <w:sz w:val="22"/>
                <w:szCs w:val="22"/>
                <w:color w:val="auto"/>
              </w:rPr>
            </w:pPr>
          </w:p>
        </w:tc>
      </w:tr>
      <w:tr>
        <w:trPr>
          <w:trHeight w:val="233"/>
        </w:trPr>
        <w:tc>
          <w:tcPr>
            <w:tcW w:w="190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1</w:t>
            </w:r>
          </w:p>
        </w:tc>
        <w:tc>
          <w:tcPr>
            <w:tcW w:w="880" w:type="dxa"/>
            <w:vAlign w:val="bottom"/>
            <w:shd w:val="clear" w:color="auto" w:fill="CCEEFF"/>
          </w:tcPr>
          <w:p>
            <w:pPr>
              <w:ind w:left="60"/>
              <w:spacing w:after="0" w:line="233"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ind w:right="13"/>
              <w:spacing w:after="0" w:line="233" w:lineRule="exact"/>
              <w:rPr>
                <w:sz w:val="20"/>
                <w:szCs w:val="20"/>
                <w:color w:val="auto"/>
              </w:rPr>
            </w:pPr>
            <w:r>
              <w:rPr>
                <w:rFonts w:ascii="Arial" w:cs="Arial" w:eastAsia="Arial" w:hAnsi="Arial"/>
                <w:sz w:val="21"/>
                <w:szCs w:val="21"/>
                <w:color w:val="auto"/>
              </w:rPr>
              <w:t>50</w:t>
            </w:r>
          </w:p>
        </w:tc>
        <w:tc>
          <w:tcPr>
            <w:tcW w:w="940" w:type="dxa"/>
            <w:vAlign w:val="bottom"/>
            <w:shd w:val="clear" w:color="auto" w:fill="CCEEFF"/>
          </w:tcPr>
          <w:p>
            <w:pPr>
              <w:ind w:left="120"/>
              <w:spacing w:after="0" w:line="233"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ind w:right="13"/>
              <w:spacing w:after="0" w:line="233" w:lineRule="exact"/>
              <w:rPr>
                <w:sz w:val="20"/>
                <w:szCs w:val="20"/>
                <w:color w:val="auto"/>
              </w:rPr>
            </w:pPr>
            <w:r>
              <w:rPr>
                <w:rFonts w:ascii="Arial" w:cs="Arial" w:eastAsia="Arial" w:hAnsi="Arial"/>
                <w:sz w:val="21"/>
                <w:szCs w:val="21"/>
                <w:color w:val="auto"/>
              </w:rPr>
              <w:t>41</w:t>
            </w:r>
          </w:p>
        </w:tc>
        <w:tc>
          <w:tcPr>
            <w:tcW w:w="660" w:type="dxa"/>
            <w:vAlign w:val="bottom"/>
            <w:shd w:val="clear" w:color="auto" w:fill="CCEEFF"/>
          </w:tcPr>
          <w:p>
            <w:pPr>
              <w:ind w:left="120"/>
              <w:spacing w:after="0" w:line="233"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shd w:val="clear" w:color="auto" w:fill="CCEEFF"/>
          </w:tcPr>
          <w:p>
            <w:pPr>
              <w:jc w:val="right"/>
              <w:ind w:right="33"/>
              <w:spacing w:after="0" w:line="233" w:lineRule="exact"/>
              <w:rPr>
                <w:sz w:val="20"/>
                <w:szCs w:val="20"/>
                <w:color w:val="auto"/>
              </w:rPr>
            </w:pPr>
            <w:r>
              <w:rPr>
                <w:rFonts w:ascii="Arial" w:cs="Arial" w:eastAsia="Arial" w:hAnsi="Arial"/>
                <w:sz w:val="21"/>
                <w:szCs w:val="21"/>
                <w:color w:val="auto"/>
              </w:rPr>
              <w:t>91</w:t>
            </w:r>
          </w:p>
        </w:tc>
        <w:tc>
          <w:tcPr>
            <w:tcW w:w="540" w:type="dxa"/>
            <w:vAlign w:val="bottom"/>
            <w:shd w:val="clear" w:color="auto" w:fill="CCEEFF"/>
          </w:tcPr>
          <w:p>
            <w:pPr>
              <w:ind w:left="80"/>
              <w:spacing w:after="0" w:line="233" w:lineRule="exact"/>
              <w:rPr>
                <w:sz w:val="20"/>
                <w:szCs w:val="20"/>
                <w:color w:val="auto"/>
              </w:rPr>
            </w:pPr>
            <w:r>
              <w:rPr>
                <w:rFonts w:ascii="Arial" w:cs="Arial" w:eastAsia="Arial" w:hAnsi="Arial"/>
                <w:sz w:val="21"/>
                <w:szCs w:val="21"/>
                <w:color w:val="auto"/>
              </w:rPr>
              <w:t>$</w:t>
            </w:r>
          </w:p>
        </w:tc>
        <w:tc>
          <w:tcPr>
            <w:tcW w:w="78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150</w:t>
            </w:r>
          </w:p>
        </w:tc>
        <w:tc>
          <w:tcPr>
            <w:tcW w:w="640" w:type="dxa"/>
            <w:vAlign w:val="bottom"/>
            <w:shd w:val="clear" w:color="auto" w:fill="CCEEFF"/>
          </w:tcPr>
          <w:p>
            <w:pPr>
              <w:ind w:left="100"/>
              <w:spacing w:after="0" w:line="233" w:lineRule="exact"/>
              <w:rPr>
                <w:sz w:val="20"/>
                <w:szCs w:val="20"/>
                <w:color w:val="auto"/>
              </w:rPr>
            </w:pPr>
            <w:r>
              <w:rPr>
                <w:rFonts w:ascii="Arial" w:cs="Arial" w:eastAsia="Arial" w:hAnsi="Arial"/>
                <w:sz w:val="21"/>
                <w:szCs w:val="21"/>
                <w:color w:val="auto"/>
              </w:rPr>
              <w:t>$</w:t>
            </w:r>
          </w:p>
        </w:tc>
        <w:tc>
          <w:tcPr>
            <w:tcW w:w="70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122</w:t>
            </w:r>
          </w:p>
        </w:tc>
        <w:tc>
          <w:tcPr>
            <w:tcW w:w="740" w:type="dxa"/>
            <w:vAlign w:val="bottom"/>
            <w:shd w:val="clear" w:color="auto" w:fill="CCEEFF"/>
          </w:tcPr>
          <w:p>
            <w:pPr>
              <w:ind w:left="120"/>
              <w:spacing w:after="0" w:line="233" w:lineRule="exact"/>
              <w:rPr>
                <w:sz w:val="20"/>
                <w:szCs w:val="20"/>
                <w:color w:val="auto"/>
              </w:rPr>
            </w:pPr>
            <w:r>
              <w:rPr>
                <w:rFonts w:ascii="Arial" w:cs="Arial" w:eastAsia="Arial" w:hAnsi="Arial"/>
                <w:sz w:val="21"/>
                <w:szCs w:val="21"/>
                <w:color w:val="auto"/>
              </w:rPr>
              <w:t>$</w:t>
            </w:r>
          </w:p>
        </w:tc>
        <w:tc>
          <w:tcPr>
            <w:tcW w:w="66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(50)</w:t>
            </w:r>
          </w:p>
        </w:tc>
        <w:tc>
          <w:tcPr>
            <w:tcW w:w="840" w:type="dxa"/>
            <w:vAlign w:val="bottom"/>
            <w:shd w:val="clear" w:color="auto" w:fill="CCEEFF"/>
          </w:tcPr>
          <w:p>
            <w:pPr>
              <w:ind w:left="60"/>
              <w:spacing w:after="0" w:line="233"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w w:val="96"/>
              </w:rPr>
              <w:t>222</w:t>
            </w:r>
          </w:p>
        </w:tc>
      </w:tr>
      <w:tr>
        <w:trPr>
          <w:trHeight w:val="240"/>
        </w:trPr>
        <w:tc>
          <w:tcPr>
            <w:tcW w:w="190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88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13"/>
              <w:spacing w:after="0" w:line="240" w:lineRule="exact"/>
              <w:rPr>
                <w:sz w:val="20"/>
                <w:szCs w:val="20"/>
                <w:color w:val="auto"/>
              </w:rPr>
            </w:pPr>
            <w:r>
              <w:rPr>
                <w:rFonts w:ascii="Arial" w:cs="Arial" w:eastAsia="Arial" w:hAnsi="Arial"/>
                <w:sz w:val="21"/>
                <w:szCs w:val="21"/>
                <w:color w:val="auto"/>
                <w:w w:val="91"/>
              </w:rPr>
              <w:t>350</w:t>
            </w:r>
          </w:p>
        </w:tc>
        <w:tc>
          <w:tcPr>
            <w:tcW w:w="94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13"/>
              <w:spacing w:after="0" w:line="240" w:lineRule="exact"/>
              <w:rPr>
                <w:sz w:val="20"/>
                <w:szCs w:val="20"/>
                <w:color w:val="auto"/>
              </w:rPr>
            </w:pPr>
            <w:r>
              <w:rPr>
                <w:rFonts w:ascii="Arial" w:cs="Arial" w:eastAsia="Arial" w:hAnsi="Arial"/>
                <w:sz w:val="21"/>
                <w:szCs w:val="21"/>
                <w:color w:val="auto"/>
                <w:w w:val="91"/>
              </w:rPr>
              <w:t>286</w:t>
            </w:r>
          </w:p>
        </w:tc>
        <w:tc>
          <w:tcPr>
            <w:tcW w:w="66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tcPr>
          <w:p>
            <w:pPr>
              <w:jc w:val="right"/>
              <w:ind w:right="33"/>
              <w:spacing w:after="0" w:line="240" w:lineRule="exact"/>
              <w:rPr>
                <w:sz w:val="20"/>
                <w:szCs w:val="20"/>
                <w:color w:val="auto"/>
              </w:rPr>
            </w:pPr>
            <w:r>
              <w:rPr>
                <w:rFonts w:ascii="Arial" w:cs="Arial" w:eastAsia="Arial" w:hAnsi="Arial"/>
                <w:sz w:val="21"/>
                <w:szCs w:val="21"/>
                <w:color w:val="auto"/>
              </w:rPr>
              <w:t>636</w:t>
            </w:r>
          </w:p>
        </w:tc>
        <w:tc>
          <w:tcPr>
            <w:tcW w:w="54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21"/>
                <w:szCs w:val="21"/>
                <w:color w:val="auto"/>
              </w:rPr>
              <w:t>222</w:t>
            </w:r>
          </w:p>
        </w:tc>
        <w:tc>
          <w:tcPr>
            <w:tcW w:w="64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700" w:type="dxa"/>
            <w:vAlign w:val="bottom"/>
          </w:tcPr>
          <w:p>
            <w:pPr>
              <w:jc w:val="right"/>
              <w:spacing w:after="0" w:line="240" w:lineRule="exact"/>
              <w:rPr>
                <w:sz w:val="20"/>
                <w:szCs w:val="20"/>
                <w:color w:val="auto"/>
              </w:rPr>
            </w:pPr>
            <w:r>
              <w:rPr>
                <w:rFonts w:ascii="Arial" w:cs="Arial" w:eastAsia="Arial" w:hAnsi="Arial"/>
                <w:sz w:val="21"/>
                <w:szCs w:val="21"/>
                <w:color w:val="auto"/>
              </w:rPr>
              <w:t>180</w:t>
            </w:r>
          </w:p>
        </w:tc>
        <w:tc>
          <w:tcPr>
            <w:tcW w:w="74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(350)</w:t>
            </w:r>
          </w:p>
        </w:tc>
        <w:tc>
          <w:tcPr>
            <w:tcW w:w="84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spacing w:after="0" w:line="240" w:lineRule="exact"/>
              <w:rPr>
                <w:sz w:val="20"/>
                <w:szCs w:val="20"/>
                <w:color w:val="auto"/>
              </w:rPr>
            </w:pPr>
            <w:r>
              <w:rPr>
                <w:rFonts w:ascii="Arial" w:cs="Arial" w:eastAsia="Arial" w:hAnsi="Arial"/>
                <w:sz w:val="21"/>
                <w:szCs w:val="21"/>
                <w:color w:val="auto"/>
              </w:rPr>
              <w:t>51</w:t>
            </w:r>
          </w:p>
        </w:tc>
      </w:tr>
      <w:tr>
        <w:trPr>
          <w:trHeight w:val="240"/>
        </w:trPr>
        <w:tc>
          <w:tcPr>
            <w:tcW w:w="190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3</w:t>
            </w:r>
          </w:p>
        </w:tc>
        <w:tc>
          <w:tcPr>
            <w:tcW w:w="880" w:type="dxa"/>
            <w:vAlign w:val="bottom"/>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50</w:t>
            </w:r>
          </w:p>
        </w:tc>
        <w:tc>
          <w:tcPr>
            <w:tcW w:w="940" w:type="dxa"/>
            <w:vAlign w:val="bottom"/>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660" w:type="dxa"/>
            <w:vAlign w:val="bottom"/>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shd w:val="clear" w:color="auto" w:fill="CCEEFF"/>
          </w:tcPr>
          <w:p>
            <w:pPr>
              <w:jc w:val="right"/>
              <w:ind w:right="33"/>
              <w:spacing w:after="0" w:line="240" w:lineRule="exact"/>
              <w:rPr>
                <w:sz w:val="20"/>
                <w:szCs w:val="20"/>
                <w:color w:val="auto"/>
              </w:rPr>
            </w:pPr>
            <w:r>
              <w:rPr>
                <w:rFonts w:ascii="Arial" w:cs="Arial" w:eastAsia="Arial" w:hAnsi="Arial"/>
                <w:sz w:val="21"/>
                <w:szCs w:val="21"/>
                <w:color w:val="auto"/>
              </w:rPr>
              <w:t>91</w:t>
            </w:r>
          </w:p>
        </w:tc>
        <w:tc>
          <w:tcPr>
            <w:tcW w:w="540" w:type="dxa"/>
            <w:vAlign w:val="bottom"/>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78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51</w:t>
            </w:r>
          </w:p>
        </w:tc>
        <w:tc>
          <w:tcPr>
            <w:tcW w:w="640" w:type="dxa"/>
            <w:vAlign w:val="bottom"/>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70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42</w:t>
            </w:r>
          </w:p>
        </w:tc>
        <w:tc>
          <w:tcPr>
            <w:tcW w:w="740" w:type="dxa"/>
            <w:vAlign w:val="bottom"/>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(50)</w:t>
            </w:r>
          </w:p>
        </w:tc>
        <w:tc>
          <w:tcPr>
            <w:tcW w:w="840" w:type="dxa"/>
            <w:vAlign w:val="bottom"/>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43</w:t>
            </w:r>
          </w:p>
        </w:tc>
      </w:tr>
      <w:tr>
        <w:trPr>
          <w:trHeight w:val="240"/>
        </w:trPr>
        <w:tc>
          <w:tcPr>
            <w:tcW w:w="190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88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13"/>
              <w:spacing w:after="0" w:line="240" w:lineRule="exact"/>
              <w:rPr>
                <w:sz w:val="20"/>
                <w:szCs w:val="20"/>
                <w:color w:val="auto"/>
              </w:rPr>
            </w:pPr>
            <w:r>
              <w:rPr>
                <w:rFonts w:ascii="Arial" w:cs="Arial" w:eastAsia="Arial" w:hAnsi="Arial"/>
                <w:sz w:val="21"/>
                <w:szCs w:val="21"/>
                <w:color w:val="auto"/>
              </w:rPr>
              <w:t>50</w:t>
            </w:r>
          </w:p>
        </w:tc>
        <w:tc>
          <w:tcPr>
            <w:tcW w:w="94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66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tcPr>
          <w:p>
            <w:pPr>
              <w:jc w:val="right"/>
              <w:ind w:right="33"/>
              <w:spacing w:after="0" w:line="240" w:lineRule="exact"/>
              <w:rPr>
                <w:sz w:val="20"/>
                <w:szCs w:val="20"/>
                <w:color w:val="auto"/>
              </w:rPr>
            </w:pPr>
            <w:r>
              <w:rPr>
                <w:rFonts w:ascii="Arial" w:cs="Arial" w:eastAsia="Arial" w:hAnsi="Arial"/>
                <w:sz w:val="21"/>
                <w:szCs w:val="21"/>
                <w:color w:val="auto"/>
              </w:rPr>
              <w:t>91</w:t>
            </w:r>
          </w:p>
        </w:tc>
        <w:tc>
          <w:tcPr>
            <w:tcW w:w="54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21"/>
                <w:szCs w:val="21"/>
                <w:color w:val="auto"/>
              </w:rPr>
              <w:t>43</w:t>
            </w:r>
          </w:p>
        </w:tc>
        <w:tc>
          <w:tcPr>
            <w:tcW w:w="64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700" w:type="dxa"/>
            <w:vAlign w:val="bottom"/>
          </w:tcPr>
          <w:p>
            <w:pPr>
              <w:jc w:val="right"/>
              <w:spacing w:after="0" w:line="240" w:lineRule="exact"/>
              <w:rPr>
                <w:sz w:val="20"/>
                <w:szCs w:val="20"/>
                <w:color w:val="auto"/>
              </w:rPr>
            </w:pPr>
            <w:r>
              <w:rPr>
                <w:rFonts w:ascii="Arial" w:cs="Arial" w:eastAsia="Arial" w:hAnsi="Arial"/>
                <w:sz w:val="21"/>
                <w:szCs w:val="21"/>
                <w:color w:val="auto"/>
              </w:rPr>
              <w:t>35</w:t>
            </w:r>
          </w:p>
        </w:tc>
        <w:tc>
          <w:tcPr>
            <w:tcW w:w="74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(50)</w:t>
            </w:r>
          </w:p>
        </w:tc>
        <w:tc>
          <w:tcPr>
            <w:tcW w:w="84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spacing w:after="0" w:line="240" w:lineRule="exact"/>
              <w:rPr>
                <w:sz w:val="20"/>
                <w:szCs w:val="20"/>
                <w:color w:val="auto"/>
              </w:rPr>
            </w:pPr>
            <w:r>
              <w:rPr>
                <w:rFonts w:ascii="Arial" w:cs="Arial" w:eastAsia="Arial" w:hAnsi="Arial"/>
                <w:sz w:val="21"/>
                <w:szCs w:val="21"/>
                <w:color w:val="auto"/>
              </w:rPr>
              <w:t>28</w:t>
            </w:r>
          </w:p>
        </w:tc>
      </w:tr>
      <w:tr>
        <w:trPr>
          <w:trHeight w:val="240"/>
        </w:trPr>
        <w:tc>
          <w:tcPr>
            <w:tcW w:w="190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5</w:t>
            </w:r>
          </w:p>
        </w:tc>
        <w:tc>
          <w:tcPr>
            <w:tcW w:w="880" w:type="dxa"/>
            <w:vAlign w:val="bottom"/>
            <w:tcBorders>
              <w:bottom w:val="single" w:sz="8" w:color="auto"/>
            </w:tcBorders>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Borders>
              <w:bottom w:val="single" w:sz="8" w:color="auto"/>
            </w:tcBorders>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50</w:t>
            </w:r>
          </w:p>
        </w:tc>
        <w:tc>
          <w:tcPr>
            <w:tcW w:w="940" w:type="dxa"/>
            <w:vAlign w:val="bottom"/>
            <w:tcBorders>
              <w:bottom w:val="single" w:sz="8" w:color="auto"/>
            </w:tcBorders>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460" w:type="dxa"/>
            <w:vAlign w:val="bottom"/>
            <w:tcBorders>
              <w:bottom w:val="single" w:sz="8" w:color="auto"/>
            </w:tcBorders>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660" w:type="dxa"/>
            <w:vAlign w:val="bottom"/>
            <w:tcBorders>
              <w:bottom w:val="single" w:sz="8" w:color="auto"/>
            </w:tcBorders>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bottom w:val="single" w:sz="8" w:color="auto"/>
              <w:right w:val="single" w:sz="8" w:color="auto"/>
            </w:tcBorders>
            <w:shd w:val="clear" w:color="auto" w:fill="CCEEFF"/>
          </w:tcPr>
          <w:p>
            <w:pPr>
              <w:jc w:val="right"/>
              <w:ind w:right="33"/>
              <w:spacing w:after="0" w:line="240" w:lineRule="exact"/>
              <w:rPr>
                <w:sz w:val="20"/>
                <w:szCs w:val="20"/>
                <w:color w:val="auto"/>
              </w:rPr>
            </w:pPr>
            <w:r>
              <w:rPr>
                <w:rFonts w:ascii="Arial" w:cs="Arial" w:eastAsia="Arial" w:hAnsi="Arial"/>
                <w:sz w:val="21"/>
                <w:szCs w:val="21"/>
                <w:color w:val="auto"/>
              </w:rPr>
              <w:t>91</w:t>
            </w:r>
          </w:p>
        </w:tc>
        <w:tc>
          <w:tcPr>
            <w:tcW w:w="540" w:type="dxa"/>
            <w:vAlign w:val="bottom"/>
            <w:tcBorders>
              <w:bottom w:val="single" w:sz="8" w:color="auto"/>
            </w:tcBorders>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78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28</w:t>
            </w:r>
          </w:p>
        </w:tc>
        <w:tc>
          <w:tcPr>
            <w:tcW w:w="640" w:type="dxa"/>
            <w:vAlign w:val="bottom"/>
            <w:tcBorders>
              <w:bottom w:val="single" w:sz="8" w:color="auto"/>
            </w:tcBorders>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70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22</w:t>
            </w:r>
          </w:p>
        </w:tc>
        <w:tc>
          <w:tcPr>
            <w:tcW w:w="740" w:type="dxa"/>
            <w:vAlign w:val="bottom"/>
            <w:tcBorders>
              <w:bottom w:val="single" w:sz="8" w:color="auto"/>
            </w:tcBorders>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(50)</w:t>
            </w:r>
          </w:p>
        </w:tc>
        <w:tc>
          <w:tcPr>
            <w:tcW w:w="840" w:type="dxa"/>
            <w:vAlign w:val="bottom"/>
            <w:tcBorders>
              <w:bottom w:val="single" w:sz="8" w:color="auto"/>
            </w:tcBorders>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0</w:t>
            </w:r>
          </w:p>
        </w:tc>
      </w:tr>
      <w:tr>
        <w:trPr>
          <w:trHeight w:val="233"/>
        </w:trPr>
        <w:tc>
          <w:tcPr>
            <w:tcW w:w="1900" w:type="dxa"/>
            <w:vAlign w:val="bottom"/>
          </w:tcPr>
          <w:p>
            <w:pPr>
              <w:jc w:val="right"/>
              <w:spacing w:after="0" w:line="233" w:lineRule="exact"/>
              <w:rPr>
                <w:sz w:val="20"/>
                <w:szCs w:val="20"/>
                <w:color w:val="auto"/>
              </w:rPr>
            </w:pPr>
            <w:r>
              <w:rPr>
                <w:rFonts w:ascii="Arial" w:cs="Arial" w:eastAsia="Arial" w:hAnsi="Arial"/>
                <w:sz w:val="21"/>
                <w:szCs w:val="21"/>
                <w:b w:val="1"/>
                <w:bCs w:val="1"/>
                <w:color w:val="auto"/>
              </w:rPr>
              <w:t>Total</w:t>
            </w:r>
          </w:p>
        </w:tc>
        <w:tc>
          <w:tcPr>
            <w:tcW w:w="880" w:type="dxa"/>
            <w:vAlign w:val="bottom"/>
          </w:tcPr>
          <w:p>
            <w:pPr>
              <w:ind w:left="60"/>
              <w:spacing w:after="0" w:line="233" w:lineRule="exact"/>
              <w:rPr>
                <w:sz w:val="20"/>
                <w:szCs w:val="20"/>
                <w:color w:val="auto"/>
              </w:rPr>
            </w:pPr>
            <w:r>
              <w:rPr>
                <w:rFonts w:ascii="Arial" w:cs="Arial" w:eastAsia="Arial" w:hAnsi="Arial"/>
                <w:sz w:val="21"/>
                <w:szCs w:val="21"/>
                <w:b w:val="1"/>
                <w:bCs w:val="1"/>
                <w:color w:val="auto"/>
              </w:rPr>
              <w:t>$</w:t>
            </w:r>
          </w:p>
        </w:tc>
        <w:tc>
          <w:tcPr>
            <w:tcW w:w="460" w:type="dxa"/>
            <w:vAlign w:val="bottom"/>
          </w:tcPr>
          <w:p>
            <w:pPr>
              <w:jc w:val="right"/>
              <w:ind w:right="13"/>
              <w:spacing w:after="0" w:line="233" w:lineRule="exact"/>
              <w:rPr>
                <w:sz w:val="20"/>
                <w:szCs w:val="20"/>
                <w:color w:val="auto"/>
              </w:rPr>
            </w:pPr>
            <w:r>
              <w:rPr>
                <w:rFonts w:ascii="Arial" w:cs="Arial" w:eastAsia="Arial" w:hAnsi="Arial"/>
                <w:sz w:val="21"/>
                <w:szCs w:val="21"/>
                <w:b w:val="1"/>
                <w:bCs w:val="1"/>
                <w:color w:val="auto"/>
                <w:w w:val="91"/>
              </w:rPr>
              <w:t>550</w:t>
            </w:r>
          </w:p>
        </w:tc>
        <w:tc>
          <w:tcPr>
            <w:tcW w:w="940" w:type="dxa"/>
            <w:vAlign w:val="bottom"/>
          </w:tcPr>
          <w:p>
            <w:pPr>
              <w:ind w:left="120"/>
              <w:spacing w:after="0" w:line="233" w:lineRule="exact"/>
              <w:rPr>
                <w:sz w:val="20"/>
                <w:szCs w:val="20"/>
                <w:color w:val="auto"/>
              </w:rPr>
            </w:pPr>
            <w:r>
              <w:rPr>
                <w:rFonts w:ascii="Arial" w:cs="Arial" w:eastAsia="Arial" w:hAnsi="Arial"/>
                <w:sz w:val="21"/>
                <w:szCs w:val="21"/>
                <w:b w:val="1"/>
                <w:bCs w:val="1"/>
                <w:color w:val="auto"/>
              </w:rPr>
              <w:t>$</w:t>
            </w:r>
          </w:p>
        </w:tc>
        <w:tc>
          <w:tcPr>
            <w:tcW w:w="460" w:type="dxa"/>
            <w:vAlign w:val="bottom"/>
          </w:tcPr>
          <w:p>
            <w:pPr>
              <w:jc w:val="right"/>
              <w:ind w:right="13"/>
              <w:spacing w:after="0" w:line="233" w:lineRule="exact"/>
              <w:rPr>
                <w:sz w:val="20"/>
                <w:szCs w:val="20"/>
                <w:color w:val="auto"/>
              </w:rPr>
            </w:pPr>
            <w:r>
              <w:rPr>
                <w:rFonts w:ascii="Arial" w:cs="Arial" w:eastAsia="Arial" w:hAnsi="Arial"/>
                <w:sz w:val="21"/>
                <w:szCs w:val="21"/>
                <w:b w:val="1"/>
                <w:bCs w:val="1"/>
                <w:color w:val="auto"/>
                <w:w w:val="91"/>
              </w:rPr>
              <w:t>450</w:t>
            </w:r>
          </w:p>
        </w:tc>
        <w:tc>
          <w:tcPr>
            <w:tcW w:w="660" w:type="dxa"/>
            <w:vAlign w:val="bottom"/>
          </w:tcPr>
          <w:p>
            <w:pPr>
              <w:ind w:left="120"/>
              <w:spacing w:after="0" w:line="233" w:lineRule="exact"/>
              <w:rPr>
                <w:sz w:val="20"/>
                <w:szCs w:val="20"/>
                <w:color w:val="auto"/>
              </w:rPr>
            </w:pPr>
            <w:r>
              <w:rPr>
                <w:rFonts w:ascii="Arial" w:cs="Arial" w:eastAsia="Arial" w:hAnsi="Arial"/>
                <w:sz w:val="21"/>
                <w:szCs w:val="21"/>
                <w:b w:val="1"/>
                <w:bCs w:val="1"/>
                <w:color w:val="auto"/>
              </w:rPr>
              <w:t>$</w:t>
            </w:r>
          </w:p>
        </w:tc>
        <w:tc>
          <w:tcPr>
            <w:tcW w:w="760" w:type="dxa"/>
            <w:vAlign w:val="bottom"/>
            <w:tcBorders>
              <w:right w:val="single" w:sz="8" w:color="auto"/>
            </w:tcBorders>
          </w:tcPr>
          <w:p>
            <w:pPr>
              <w:jc w:val="right"/>
              <w:ind w:right="33"/>
              <w:spacing w:after="0" w:line="233" w:lineRule="exact"/>
              <w:rPr>
                <w:sz w:val="20"/>
                <w:szCs w:val="20"/>
                <w:color w:val="auto"/>
              </w:rPr>
            </w:pPr>
            <w:r>
              <w:rPr>
                <w:rFonts w:ascii="Arial" w:cs="Arial" w:eastAsia="Arial" w:hAnsi="Arial"/>
                <w:sz w:val="21"/>
                <w:szCs w:val="21"/>
                <w:b w:val="1"/>
                <w:bCs w:val="1"/>
                <w:color w:val="auto"/>
              </w:rPr>
              <w:t>1,000</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ind w:left="100"/>
              <w:spacing w:after="0" w:line="233" w:lineRule="exact"/>
              <w:rPr>
                <w:sz w:val="20"/>
                <w:szCs w:val="20"/>
                <w:color w:val="auto"/>
              </w:rPr>
            </w:pPr>
            <w:r>
              <w:rPr>
                <w:rFonts w:ascii="Arial" w:cs="Arial" w:eastAsia="Arial" w:hAnsi="Arial"/>
                <w:sz w:val="21"/>
                <w:szCs w:val="21"/>
                <w:b w:val="1"/>
                <w:bCs w:val="1"/>
                <w:color w:val="auto"/>
              </w:rPr>
              <w:t>$</w:t>
            </w:r>
          </w:p>
        </w:tc>
        <w:tc>
          <w:tcPr>
            <w:tcW w:w="700" w:type="dxa"/>
            <w:vAlign w:val="bottom"/>
          </w:tcPr>
          <w:p>
            <w:pPr>
              <w:jc w:val="right"/>
              <w:spacing w:after="0" w:line="233" w:lineRule="exact"/>
              <w:rPr>
                <w:sz w:val="20"/>
                <w:szCs w:val="20"/>
                <w:color w:val="auto"/>
              </w:rPr>
            </w:pPr>
            <w:r>
              <w:rPr>
                <w:rFonts w:ascii="Arial" w:cs="Arial" w:eastAsia="Arial" w:hAnsi="Arial"/>
                <w:sz w:val="21"/>
                <w:szCs w:val="21"/>
                <w:b w:val="1"/>
                <w:bCs w:val="1"/>
                <w:color w:val="auto"/>
              </w:rPr>
              <w:t>400</w:t>
            </w:r>
          </w:p>
        </w:tc>
        <w:tc>
          <w:tcPr>
            <w:tcW w:w="740" w:type="dxa"/>
            <w:vAlign w:val="bottom"/>
          </w:tcPr>
          <w:p>
            <w:pPr>
              <w:ind w:left="120"/>
              <w:spacing w:after="0" w:line="233" w:lineRule="exact"/>
              <w:rPr>
                <w:sz w:val="20"/>
                <w:szCs w:val="20"/>
                <w:color w:val="auto"/>
              </w:rPr>
            </w:pPr>
            <w:r>
              <w:rPr>
                <w:rFonts w:ascii="Arial" w:cs="Arial" w:eastAsia="Arial" w:hAnsi="Arial"/>
                <w:sz w:val="21"/>
                <w:szCs w:val="21"/>
                <w:b w:val="1"/>
                <w:bCs w:val="1"/>
                <w:color w:val="auto"/>
              </w:rPr>
              <w:t>$</w:t>
            </w:r>
          </w:p>
        </w:tc>
        <w:tc>
          <w:tcPr>
            <w:tcW w:w="660" w:type="dxa"/>
            <w:vAlign w:val="bottom"/>
          </w:tcPr>
          <w:p>
            <w:pPr>
              <w:jc w:val="right"/>
              <w:spacing w:after="0" w:line="233" w:lineRule="exact"/>
              <w:rPr>
                <w:sz w:val="20"/>
                <w:szCs w:val="20"/>
                <w:color w:val="auto"/>
              </w:rPr>
            </w:pPr>
            <w:r>
              <w:rPr>
                <w:rFonts w:ascii="Arial" w:cs="Arial" w:eastAsia="Arial" w:hAnsi="Arial"/>
                <w:sz w:val="21"/>
                <w:szCs w:val="21"/>
                <w:b w:val="1"/>
                <w:bCs w:val="1"/>
                <w:color w:val="auto"/>
              </w:rPr>
              <w:t>(550)</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744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Components may not sum due to rounding</w:t>
      </w:r>
    </w:p>
    <w:p>
      <w:pPr>
        <w:spacing w:after="0" w:line="246" w:lineRule="exact"/>
        <w:rPr>
          <w:rFonts w:ascii="Arial" w:cs="Arial" w:eastAsia="Arial" w:hAnsi="Arial"/>
          <w:sz w:val="18"/>
          <w:szCs w:val="18"/>
          <w:color w:val="auto"/>
        </w:rPr>
      </w:pPr>
    </w:p>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Accretion is calculated by multiplying the yield of 81% by the beginning carrying value.</w:t>
      </w:r>
    </w:p>
    <w:p>
      <w:pPr>
        <w:spacing w:after="0" w:line="200" w:lineRule="exact"/>
        <w:rPr>
          <w:sz w:val="20"/>
          <w:szCs w:val="20"/>
          <w:color w:val="auto"/>
        </w:rPr>
      </w:pPr>
    </w:p>
    <w:p>
      <w:pPr>
        <w:spacing w:after="0" w:line="277" w:lineRule="exact"/>
        <w:rPr>
          <w:sz w:val="20"/>
          <w:szCs w:val="20"/>
          <w:color w:val="auto"/>
        </w:rPr>
      </w:pPr>
    </w:p>
    <w:p>
      <w:pPr>
        <w:ind w:right="280" w:firstLine="1280"/>
        <w:spacing w:after="0" w:line="268" w:lineRule="auto"/>
        <w:rPr>
          <w:sz w:val="20"/>
          <w:szCs w:val="20"/>
          <w:color w:val="auto"/>
        </w:rPr>
      </w:pPr>
      <w:r>
        <w:rPr>
          <w:rFonts w:ascii="Arial" w:cs="Arial" w:eastAsia="Arial" w:hAnsi="Arial"/>
          <w:sz w:val="21"/>
          <w:szCs w:val="21"/>
          <w:color w:val="auto"/>
        </w:rPr>
        <w:t>To illustrate how the yield does not change after a loan is removed from the pool at a pro rata allocation of carrying value, assume cash flows are collected as expected and illustrated in Table 2:</w:t>
      </w:r>
    </w:p>
    <w:p>
      <w:pPr>
        <w:spacing w:after="0" w:line="181" w:lineRule="exact"/>
        <w:rPr>
          <w:sz w:val="20"/>
          <w:szCs w:val="20"/>
          <w:color w:val="auto"/>
        </w:rPr>
      </w:pPr>
    </w:p>
    <w:p>
      <w:pPr>
        <w:ind w:left="480" w:hanging="233"/>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During the first year, the bank recognizes accretion of $122 and resolves $91 of UPB at a 45% loss, as expected.</w:t>
      </w:r>
    </w:p>
    <w:p>
      <w:pPr>
        <w:spacing w:after="0" w:line="16" w:lineRule="exact"/>
        <w:rPr>
          <w:rFonts w:ascii="Arial" w:cs="Arial" w:eastAsia="Arial" w:hAnsi="Arial"/>
          <w:sz w:val="21"/>
          <w:szCs w:val="21"/>
          <w:color w:val="auto"/>
        </w:rPr>
      </w:pPr>
    </w:p>
    <w:p>
      <w:pPr>
        <w:ind w:left="480" w:hanging="233"/>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pool is reduced by $50, the allocated carrying value of the loans resolved during the period. $50 = (1 - 45%) * $91</w:t>
      </w:r>
    </w:p>
    <w:p>
      <w:pPr>
        <w:spacing w:after="0" w:line="232" w:lineRule="exact"/>
        <w:rPr>
          <w:sz w:val="20"/>
          <w:szCs w:val="20"/>
          <w:color w:val="auto"/>
        </w:rPr>
      </w:pPr>
    </w:p>
    <w:p>
      <w:pPr>
        <w:ind w:right="120" w:firstLine="1280"/>
        <w:spacing w:after="0" w:line="248" w:lineRule="auto"/>
        <w:rPr>
          <w:sz w:val="20"/>
          <w:szCs w:val="20"/>
          <w:color w:val="auto"/>
        </w:rPr>
      </w:pPr>
      <w:r>
        <w:rPr>
          <w:rFonts w:ascii="Arial" w:cs="Arial" w:eastAsia="Arial" w:hAnsi="Arial"/>
          <w:sz w:val="21"/>
          <w:szCs w:val="21"/>
          <w:color w:val="auto"/>
        </w:rPr>
        <w:t>The internal rate of return calculated using the cash flows from years 2 – 5 (year 2 - $350; year 3 - $50; year 4 - $50, and year 5 - $50) and the carrying value at the end of the first year ($222) is equal to 81%, unchanged from the yield expected at acquisition. A similar exercise performed at the end of each year thereafter produces the same result: a yield of 81%, recalculated at each year end, unaffected by loan resolutions.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Illustration of the removal of loans from a pool with a positive carrying value if cash flows differ from expectations:</w:t>
      </w:r>
    </w:p>
    <w:p>
      <w:pPr>
        <w:spacing w:after="0" w:line="239" w:lineRule="exact"/>
        <w:rPr>
          <w:sz w:val="20"/>
          <w:szCs w:val="20"/>
          <w:color w:val="auto"/>
        </w:rPr>
      </w:pPr>
    </w:p>
    <w:p>
      <w:pPr>
        <w:ind w:right="520" w:firstLine="1280"/>
        <w:spacing w:after="0" w:line="268" w:lineRule="auto"/>
        <w:rPr>
          <w:sz w:val="20"/>
          <w:szCs w:val="20"/>
          <w:color w:val="auto"/>
        </w:rPr>
      </w:pPr>
      <w:r>
        <w:rPr>
          <w:rFonts w:ascii="Arial" w:cs="Arial" w:eastAsia="Arial" w:hAnsi="Arial"/>
          <w:sz w:val="21"/>
          <w:szCs w:val="21"/>
          <w:color w:val="auto"/>
        </w:rPr>
        <w:t>The yield of the remaining loans does not change after a loan is removed from the pool at a pro rata allocation of carrying value even if cash flows differ from expectations. To illustrate, assume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532765</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5</w:t>
      </w:r>
    </w:p>
    <w:p>
      <w:pPr>
        <w:spacing w:after="0" w:line="200" w:lineRule="exact"/>
        <w:rPr>
          <w:sz w:val="20"/>
          <w:szCs w:val="20"/>
          <w:color w:val="auto"/>
        </w:rPr>
      </w:pPr>
    </w:p>
    <w:p>
      <w:pPr>
        <w:spacing w:after="0" w:line="261" w:lineRule="exact"/>
        <w:rPr>
          <w:sz w:val="20"/>
          <w:szCs w:val="20"/>
          <w:color w:val="auto"/>
        </w:rPr>
      </w:pPr>
    </w:p>
    <w:p>
      <w:pPr>
        <w:ind w:left="480" w:hanging="233"/>
        <w:spacing w:after="0"/>
        <w:tabs>
          <w:tab w:leader="none" w:pos="480" w:val="left"/>
        </w:tabs>
        <w:numPr>
          <w:ilvl w:val="0"/>
          <w:numId w:val="4"/>
        </w:numPr>
        <w:rPr>
          <w:rFonts w:ascii="Arial" w:cs="Arial" w:eastAsia="Arial" w:hAnsi="Arial"/>
          <w:sz w:val="21"/>
          <w:szCs w:val="21"/>
          <w:color w:val="auto"/>
        </w:rPr>
      </w:pPr>
      <w:r>
        <w:rPr>
          <w:rFonts w:ascii="Arial" w:cs="Arial" w:eastAsia="Arial" w:hAnsi="Arial"/>
          <w:sz w:val="21"/>
          <w:szCs w:val="21"/>
          <w:color w:val="auto"/>
        </w:rPr>
        <w:t>During the first year, the bank recognizes accretion of $122 and resolves $91 of UPB at a 45% loss, as expected.</w:t>
      </w:r>
    </w:p>
    <w:p>
      <w:pPr>
        <w:spacing w:after="0" w:line="16" w:lineRule="exact"/>
        <w:rPr>
          <w:rFonts w:ascii="Arial" w:cs="Arial" w:eastAsia="Arial" w:hAnsi="Arial"/>
          <w:sz w:val="21"/>
          <w:szCs w:val="21"/>
          <w:color w:val="auto"/>
        </w:rPr>
      </w:pPr>
    </w:p>
    <w:p>
      <w:pPr>
        <w:ind w:left="480" w:hanging="233"/>
        <w:spacing w:after="0" w:line="238" w:lineRule="auto"/>
        <w:tabs>
          <w:tab w:leader="none" w:pos="480" w:val="left"/>
        </w:tabs>
        <w:numPr>
          <w:ilvl w:val="0"/>
          <w:numId w:val="4"/>
        </w:numPr>
        <w:rPr>
          <w:rFonts w:ascii="Arial" w:cs="Arial" w:eastAsia="Arial" w:hAnsi="Arial"/>
          <w:sz w:val="21"/>
          <w:szCs w:val="21"/>
          <w:color w:val="auto"/>
        </w:rPr>
      </w:pPr>
      <w:r>
        <w:rPr>
          <w:rFonts w:ascii="Arial" w:cs="Arial" w:eastAsia="Arial" w:hAnsi="Arial"/>
          <w:sz w:val="21"/>
          <w:szCs w:val="21"/>
          <w:color w:val="auto"/>
        </w:rPr>
        <w:t>During the second year, the bank recognizes accretion of $180 and resolves $91 of UPB at a 45% loss, as expected.</w:t>
      </w:r>
    </w:p>
    <w:p>
      <w:pPr>
        <w:ind w:left="480" w:right="160" w:hanging="233"/>
        <w:spacing w:after="0" w:line="238" w:lineRule="auto"/>
        <w:tabs>
          <w:tab w:leader="none" w:pos="480" w:val="left"/>
        </w:tabs>
        <w:numPr>
          <w:ilvl w:val="0"/>
          <w:numId w:val="4"/>
        </w:numPr>
        <w:rPr>
          <w:rFonts w:ascii="Arial" w:cs="Arial" w:eastAsia="Arial" w:hAnsi="Arial"/>
          <w:sz w:val="21"/>
          <w:szCs w:val="21"/>
          <w:color w:val="auto"/>
        </w:rPr>
      </w:pPr>
      <w:r>
        <w:rPr>
          <w:rFonts w:ascii="Arial" w:cs="Arial" w:eastAsia="Arial" w:hAnsi="Arial"/>
          <w:sz w:val="21"/>
          <w:szCs w:val="21"/>
          <w:color w:val="auto"/>
        </w:rPr>
        <w:t>Additionally, in the second year, the bank sells $545 in UPB of loans for proceeds of $327. This equates to a 40% loss instead of the expected 45% loss.</w:t>
      </w:r>
    </w:p>
    <w:p>
      <w:pPr>
        <w:spacing w:after="0" w:line="1" w:lineRule="exact"/>
        <w:rPr>
          <w:rFonts w:ascii="Arial" w:cs="Arial" w:eastAsia="Arial" w:hAnsi="Arial"/>
          <w:sz w:val="21"/>
          <w:szCs w:val="21"/>
          <w:color w:val="auto"/>
        </w:rPr>
      </w:pPr>
    </w:p>
    <w:p>
      <w:pPr>
        <w:ind w:left="480" w:hanging="233"/>
        <w:spacing w:after="0"/>
        <w:tabs>
          <w:tab w:leader="none" w:pos="48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remaining loans are sold or otherwise resolved at a 45% loss, consistent with original expectations.</w:t>
      </w:r>
    </w:p>
    <w:p>
      <w:pPr>
        <w:spacing w:after="0" w:line="221" w:lineRule="exact"/>
        <w:rPr>
          <w:sz w:val="20"/>
          <w:szCs w:val="20"/>
          <w:color w:val="auto"/>
        </w:rPr>
      </w:pPr>
    </w:p>
    <w:p>
      <w:pPr>
        <w:ind w:right="140" w:firstLine="1280"/>
        <w:spacing w:after="0" w:line="268" w:lineRule="auto"/>
        <w:rPr>
          <w:sz w:val="20"/>
          <w:szCs w:val="20"/>
          <w:color w:val="auto"/>
        </w:rPr>
      </w:pPr>
      <w:r>
        <w:rPr>
          <w:rFonts w:ascii="Arial" w:cs="Arial" w:eastAsia="Arial" w:hAnsi="Arial"/>
          <w:sz w:val="21"/>
          <w:szCs w:val="21"/>
          <w:color w:val="auto"/>
        </w:rPr>
        <w:t>Table 2a presents actual cash flows, actual loss, and actual changes in UPB by year, as well as the impact on carrying value of the pool by year.</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 xml:space="preserve">Table 2a – Actual Cash Flow and Actual Rollforward of Carrying Value </w:t>
      </w:r>
      <w:r>
        <w:rPr>
          <w:rFonts w:ascii="Arial" w:cs="Arial" w:eastAsia="Arial" w:hAnsi="Arial"/>
          <w:sz w:val="14"/>
          <w:szCs w:val="14"/>
          <w:b w:val="1"/>
          <w:bCs w:val="1"/>
          <w:color w:val="auto"/>
        </w:rPr>
        <w:t>(1)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tcBorders>
            <w:gridSpan w:val="2"/>
          </w:tcPr>
          <w:p>
            <w:pPr>
              <w:ind w:left="80"/>
              <w:spacing w:after="0" w:line="212" w:lineRule="exact"/>
              <w:rPr>
                <w:sz w:val="20"/>
                <w:szCs w:val="20"/>
                <w:color w:val="auto"/>
              </w:rPr>
            </w:pPr>
            <w:r>
              <w:rPr>
                <w:rFonts w:ascii="Arial" w:cs="Arial" w:eastAsia="Arial" w:hAnsi="Arial"/>
                <w:sz w:val="21"/>
                <w:szCs w:val="21"/>
                <w:color w:val="auto"/>
              </w:rPr>
              <w:t>Beginning</w:t>
            </w:r>
          </w:p>
        </w:tc>
        <w:tc>
          <w:tcPr>
            <w:tcW w:w="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120"/>
              <w:spacing w:after="0" w:line="212" w:lineRule="exact"/>
              <w:rPr>
                <w:sz w:val="20"/>
                <w:szCs w:val="20"/>
                <w:color w:val="auto"/>
              </w:rPr>
            </w:pPr>
            <w:r>
              <w:rPr>
                <w:rFonts w:ascii="Arial" w:cs="Arial" w:eastAsia="Arial" w:hAnsi="Arial"/>
                <w:sz w:val="21"/>
                <w:szCs w:val="21"/>
                <w:color w:val="auto"/>
              </w:rPr>
              <w:t>CV of</w:t>
            </w:r>
          </w:p>
        </w:tc>
        <w:tc>
          <w:tcPr>
            <w:tcW w:w="6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
              <w:spacing w:after="0" w:line="212" w:lineRule="exact"/>
              <w:rPr>
                <w:sz w:val="20"/>
                <w:szCs w:val="20"/>
                <w:color w:val="auto"/>
              </w:rPr>
            </w:pPr>
            <w:r>
              <w:rPr>
                <w:rFonts w:ascii="Arial" w:cs="Arial" w:eastAsia="Arial" w:hAnsi="Arial"/>
                <w:sz w:val="21"/>
                <w:szCs w:val="21"/>
                <w:color w:val="auto"/>
              </w:rPr>
              <w:t>Ending</w:t>
            </w:r>
          </w:p>
        </w:tc>
        <w:tc>
          <w:tcPr>
            <w:tcW w:w="460" w:type="dxa"/>
            <w:vAlign w:val="bottom"/>
            <w:tcBorders>
              <w:top w:val="single" w:sz="8" w:color="auto"/>
            </w:tcBorders>
          </w:tcPr>
          <w:p>
            <w:pPr>
              <w:spacing w:after="0"/>
              <w:rPr>
                <w:sz w:val="18"/>
                <w:szCs w:val="18"/>
                <w:color w:val="auto"/>
              </w:rPr>
            </w:pPr>
          </w:p>
        </w:tc>
      </w:tr>
      <w:tr>
        <w:trPr>
          <w:trHeight w:val="240"/>
        </w:trPr>
        <w:tc>
          <w:tcPr>
            <w:tcW w:w="1900" w:type="dxa"/>
            <w:vAlign w:val="bottom"/>
          </w:tcPr>
          <w:p>
            <w:pPr>
              <w:spacing w:after="0"/>
              <w:rPr>
                <w:sz w:val="20"/>
                <w:szCs w:val="20"/>
                <w:color w:val="auto"/>
              </w:rPr>
            </w:pPr>
          </w:p>
        </w:tc>
        <w:tc>
          <w:tcPr>
            <w:tcW w:w="1340" w:type="dxa"/>
            <w:vAlign w:val="bottom"/>
            <w:gridSpan w:val="2"/>
          </w:tcPr>
          <w:p>
            <w:pPr>
              <w:ind w:left="60"/>
              <w:spacing w:after="0" w:line="240" w:lineRule="exact"/>
              <w:rPr>
                <w:sz w:val="20"/>
                <w:szCs w:val="20"/>
                <w:color w:val="auto"/>
              </w:rPr>
            </w:pPr>
            <w:r>
              <w:rPr>
                <w:rFonts w:ascii="Arial" w:cs="Arial" w:eastAsia="Arial" w:hAnsi="Arial"/>
                <w:sz w:val="21"/>
                <w:szCs w:val="21"/>
                <w:color w:val="auto"/>
              </w:rPr>
              <w:t>Actual Cash</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Borders>
              <w:right w:val="single" w:sz="8" w:color="auto"/>
            </w:tcBorders>
            <w:gridSpan w:val="2"/>
          </w:tcPr>
          <w:p>
            <w:pPr>
              <w:ind w:left="120"/>
              <w:spacing w:after="0" w:line="240" w:lineRule="exact"/>
              <w:rPr>
                <w:sz w:val="20"/>
                <w:szCs w:val="20"/>
                <w:color w:val="auto"/>
              </w:rPr>
            </w:pPr>
            <w:r>
              <w:rPr>
                <w:rFonts w:ascii="Arial" w:cs="Arial" w:eastAsia="Arial" w:hAnsi="Arial"/>
                <w:sz w:val="21"/>
                <w:szCs w:val="21"/>
                <w:color w:val="auto"/>
              </w:rPr>
              <w:t>Change in</w:t>
            </w:r>
          </w:p>
        </w:tc>
        <w:tc>
          <w:tcPr>
            <w:tcW w:w="860" w:type="dxa"/>
            <w:vAlign w:val="bottom"/>
          </w:tcPr>
          <w:p>
            <w:pPr>
              <w:ind w:left="80"/>
              <w:spacing w:after="0" w:line="240" w:lineRule="exact"/>
              <w:rPr>
                <w:sz w:val="20"/>
                <w:szCs w:val="20"/>
                <w:color w:val="auto"/>
              </w:rPr>
            </w:pPr>
            <w:r>
              <w:rPr>
                <w:rFonts w:ascii="Arial" w:cs="Arial" w:eastAsia="Arial" w:hAnsi="Arial"/>
                <w:sz w:val="21"/>
                <w:szCs w:val="21"/>
                <w:color w:val="auto"/>
                <w:w w:val="95"/>
              </w:rPr>
              <w:t>Carrying</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gridSpan w:val="2"/>
          </w:tcPr>
          <w:p>
            <w:pPr>
              <w:ind w:left="120"/>
              <w:spacing w:after="0" w:line="240" w:lineRule="exact"/>
              <w:rPr>
                <w:sz w:val="20"/>
                <w:szCs w:val="20"/>
                <w:color w:val="auto"/>
              </w:rPr>
            </w:pPr>
            <w:r>
              <w:rPr>
                <w:rFonts w:ascii="Arial" w:cs="Arial" w:eastAsia="Arial" w:hAnsi="Arial"/>
                <w:sz w:val="21"/>
                <w:szCs w:val="21"/>
                <w:color w:val="auto"/>
              </w:rPr>
              <w:t>Resolved</w:t>
            </w:r>
          </w:p>
        </w:tc>
        <w:tc>
          <w:tcPr>
            <w:tcW w:w="840" w:type="dxa"/>
            <w:vAlign w:val="bottom"/>
          </w:tcPr>
          <w:p>
            <w:pPr>
              <w:ind w:left="60"/>
              <w:spacing w:after="0" w:line="240" w:lineRule="exact"/>
              <w:rPr>
                <w:sz w:val="20"/>
                <w:szCs w:val="20"/>
                <w:color w:val="auto"/>
              </w:rPr>
            </w:pPr>
            <w:r>
              <w:rPr>
                <w:rFonts w:ascii="Arial" w:cs="Arial" w:eastAsia="Arial" w:hAnsi="Arial"/>
                <w:sz w:val="21"/>
                <w:szCs w:val="21"/>
                <w:color w:val="auto"/>
                <w:w w:val="95"/>
              </w:rPr>
              <w:t>Carrying</w:t>
            </w:r>
          </w:p>
        </w:tc>
        <w:tc>
          <w:tcPr>
            <w:tcW w:w="460" w:type="dxa"/>
            <w:vAlign w:val="bottom"/>
          </w:tcPr>
          <w:p>
            <w:pPr>
              <w:spacing w:after="0"/>
              <w:rPr>
                <w:sz w:val="20"/>
                <w:szCs w:val="20"/>
                <w:color w:val="auto"/>
              </w:rPr>
            </w:pPr>
          </w:p>
        </w:tc>
      </w:tr>
      <w:tr>
        <w:trPr>
          <w:trHeight w:val="261"/>
        </w:trPr>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Year</w:t>
            </w: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Flows</w:t>
            </w:r>
          </w:p>
        </w:tc>
        <w:tc>
          <w:tcPr>
            <w:tcW w:w="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Actual Loss</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UPB</w:t>
            </w:r>
          </w:p>
        </w:tc>
        <w:tc>
          <w:tcPr>
            <w:tcW w:w="7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Value</w:t>
            </w:r>
          </w:p>
        </w:tc>
        <w:tc>
          <w:tcPr>
            <w:tcW w:w="4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21"/>
                <w:szCs w:val="21"/>
                <w:color w:val="auto"/>
              </w:rPr>
              <w:t>Accretion</w:t>
            </w: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Loans</w:t>
            </w:r>
          </w:p>
        </w:tc>
        <w:tc>
          <w:tcPr>
            <w:tcW w:w="6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Value</w:t>
            </w:r>
          </w:p>
        </w:tc>
        <w:tc>
          <w:tcPr>
            <w:tcW w:w="460" w:type="dxa"/>
            <w:vAlign w:val="bottom"/>
            <w:tcBorders>
              <w:bottom w:val="single" w:sz="8" w:color="auto"/>
            </w:tcBorders>
          </w:tcPr>
          <w:p>
            <w:pPr>
              <w:spacing w:after="0"/>
              <w:rPr>
                <w:sz w:val="22"/>
                <w:szCs w:val="22"/>
                <w:color w:val="auto"/>
              </w:rPr>
            </w:pPr>
          </w:p>
        </w:tc>
      </w:tr>
      <w:tr>
        <w:trPr>
          <w:trHeight w:val="233"/>
        </w:trPr>
        <w:tc>
          <w:tcPr>
            <w:tcW w:w="190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1</w:t>
            </w:r>
          </w:p>
        </w:tc>
        <w:tc>
          <w:tcPr>
            <w:tcW w:w="740" w:type="dxa"/>
            <w:vAlign w:val="bottom"/>
            <w:shd w:val="clear" w:color="auto" w:fill="CCEEFF"/>
          </w:tcPr>
          <w:p>
            <w:pPr>
              <w:ind w:left="60"/>
              <w:spacing w:after="0" w:line="233" w:lineRule="exact"/>
              <w:rPr>
                <w:sz w:val="20"/>
                <w:szCs w:val="20"/>
                <w:color w:val="auto"/>
              </w:rPr>
            </w:pPr>
            <w:r>
              <w:rPr>
                <w:rFonts w:ascii="Arial" w:cs="Arial" w:eastAsia="Arial" w:hAnsi="Arial"/>
                <w:sz w:val="21"/>
                <w:szCs w:val="21"/>
                <w:color w:val="auto"/>
              </w:rPr>
              <w:t>$</w:t>
            </w:r>
          </w:p>
        </w:tc>
        <w:tc>
          <w:tcPr>
            <w:tcW w:w="600" w:type="dxa"/>
            <w:vAlign w:val="bottom"/>
            <w:shd w:val="clear" w:color="auto" w:fill="CCEEFF"/>
          </w:tcPr>
          <w:p>
            <w:pPr>
              <w:jc w:val="right"/>
              <w:ind w:right="13"/>
              <w:spacing w:after="0" w:line="233" w:lineRule="exact"/>
              <w:rPr>
                <w:sz w:val="20"/>
                <w:szCs w:val="20"/>
                <w:color w:val="auto"/>
              </w:rPr>
            </w:pPr>
            <w:r>
              <w:rPr>
                <w:rFonts w:ascii="Arial" w:cs="Arial" w:eastAsia="Arial" w:hAnsi="Arial"/>
                <w:sz w:val="21"/>
                <w:szCs w:val="21"/>
                <w:color w:val="auto"/>
              </w:rPr>
              <w:t>50</w:t>
            </w:r>
          </w:p>
        </w:tc>
        <w:tc>
          <w:tcPr>
            <w:tcW w:w="580" w:type="dxa"/>
            <w:vAlign w:val="bottom"/>
            <w:shd w:val="clear" w:color="auto" w:fill="CCEEFF"/>
          </w:tcPr>
          <w:p>
            <w:pPr>
              <w:ind w:left="120"/>
              <w:spacing w:after="0" w:line="233" w:lineRule="exact"/>
              <w:rPr>
                <w:sz w:val="20"/>
                <w:szCs w:val="20"/>
                <w:color w:val="auto"/>
              </w:rPr>
            </w:pPr>
            <w:r>
              <w:rPr>
                <w:rFonts w:ascii="Arial" w:cs="Arial" w:eastAsia="Arial" w:hAnsi="Arial"/>
                <w:sz w:val="21"/>
                <w:szCs w:val="21"/>
                <w:color w:val="auto"/>
              </w:rPr>
              <w:t>$</w:t>
            </w:r>
          </w:p>
        </w:tc>
        <w:tc>
          <w:tcPr>
            <w:tcW w:w="820" w:type="dxa"/>
            <w:vAlign w:val="bottom"/>
            <w:shd w:val="clear" w:color="auto" w:fill="CCEEFF"/>
          </w:tcPr>
          <w:p>
            <w:pPr>
              <w:jc w:val="right"/>
              <w:ind w:right="13"/>
              <w:spacing w:after="0" w:line="233" w:lineRule="exact"/>
              <w:rPr>
                <w:sz w:val="20"/>
                <w:szCs w:val="20"/>
                <w:color w:val="auto"/>
              </w:rPr>
            </w:pPr>
            <w:r>
              <w:rPr>
                <w:rFonts w:ascii="Arial" w:cs="Arial" w:eastAsia="Arial" w:hAnsi="Arial"/>
                <w:sz w:val="21"/>
                <w:szCs w:val="21"/>
                <w:color w:val="auto"/>
              </w:rPr>
              <w:t>41</w:t>
            </w:r>
          </w:p>
        </w:tc>
        <w:tc>
          <w:tcPr>
            <w:tcW w:w="660" w:type="dxa"/>
            <w:vAlign w:val="bottom"/>
            <w:shd w:val="clear" w:color="auto" w:fill="CCEEFF"/>
          </w:tcPr>
          <w:p>
            <w:pPr>
              <w:ind w:left="120"/>
              <w:spacing w:after="0" w:line="233"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shd w:val="clear" w:color="auto" w:fill="CCEEFF"/>
          </w:tcPr>
          <w:p>
            <w:pPr>
              <w:jc w:val="right"/>
              <w:ind w:right="33"/>
              <w:spacing w:after="0" w:line="233" w:lineRule="exact"/>
              <w:rPr>
                <w:sz w:val="20"/>
                <w:szCs w:val="20"/>
                <w:color w:val="auto"/>
              </w:rPr>
            </w:pPr>
            <w:r>
              <w:rPr>
                <w:rFonts w:ascii="Arial" w:cs="Arial" w:eastAsia="Arial" w:hAnsi="Arial"/>
                <w:sz w:val="21"/>
                <w:szCs w:val="21"/>
                <w:color w:val="auto"/>
              </w:rPr>
              <w:t>91</w:t>
            </w:r>
          </w:p>
        </w:tc>
        <w:tc>
          <w:tcPr>
            <w:tcW w:w="860" w:type="dxa"/>
            <w:vAlign w:val="bottom"/>
            <w:shd w:val="clear" w:color="auto" w:fill="CCEEFF"/>
          </w:tcPr>
          <w:p>
            <w:pPr>
              <w:ind w:left="80"/>
              <w:spacing w:after="0" w:line="233"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w w:val="96"/>
              </w:rPr>
              <w:t>150</w:t>
            </w:r>
          </w:p>
        </w:tc>
        <w:tc>
          <w:tcPr>
            <w:tcW w:w="560" w:type="dxa"/>
            <w:vAlign w:val="bottom"/>
            <w:shd w:val="clear" w:color="auto" w:fill="CCEEFF"/>
          </w:tcPr>
          <w:p>
            <w:pPr>
              <w:ind w:left="100"/>
              <w:spacing w:after="0" w:line="233" w:lineRule="exact"/>
              <w:rPr>
                <w:sz w:val="20"/>
                <w:szCs w:val="20"/>
                <w:color w:val="auto"/>
              </w:rPr>
            </w:pPr>
            <w:r>
              <w:rPr>
                <w:rFonts w:ascii="Arial" w:cs="Arial" w:eastAsia="Arial" w:hAnsi="Arial"/>
                <w:sz w:val="21"/>
                <w:szCs w:val="21"/>
                <w:color w:val="auto"/>
              </w:rPr>
              <w:t>$</w:t>
            </w:r>
          </w:p>
        </w:tc>
        <w:tc>
          <w:tcPr>
            <w:tcW w:w="78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122</w:t>
            </w:r>
          </w:p>
        </w:tc>
        <w:tc>
          <w:tcPr>
            <w:tcW w:w="740" w:type="dxa"/>
            <w:vAlign w:val="bottom"/>
            <w:shd w:val="clear" w:color="auto" w:fill="CCEEFF"/>
          </w:tcPr>
          <w:p>
            <w:pPr>
              <w:ind w:left="120"/>
              <w:spacing w:after="0" w:line="233" w:lineRule="exact"/>
              <w:rPr>
                <w:sz w:val="20"/>
                <w:szCs w:val="20"/>
                <w:color w:val="auto"/>
              </w:rPr>
            </w:pPr>
            <w:r>
              <w:rPr>
                <w:rFonts w:ascii="Arial" w:cs="Arial" w:eastAsia="Arial" w:hAnsi="Arial"/>
                <w:sz w:val="21"/>
                <w:szCs w:val="21"/>
                <w:color w:val="auto"/>
              </w:rPr>
              <w:t>$</w:t>
            </w:r>
          </w:p>
        </w:tc>
        <w:tc>
          <w:tcPr>
            <w:tcW w:w="66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(50)</w:t>
            </w:r>
          </w:p>
        </w:tc>
        <w:tc>
          <w:tcPr>
            <w:tcW w:w="840" w:type="dxa"/>
            <w:vAlign w:val="bottom"/>
            <w:shd w:val="clear" w:color="auto" w:fill="CCEEFF"/>
          </w:tcPr>
          <w:p>
            <w:pPr>
              <w:ind w:left="60"/>
              <w:spacing w:after="0" w:line="233"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w w:val="96"/>
              </w:rPr>
              <w:t>222</w:t>
            </w:r>
          </w:p>
        </w:tc>
      </w:tr>
      <w:tr>
        <w:trPr>
          <w:trHeight w:val="240"/>
        </w:trPr>
        <w:tc>
          <w:tcPr>
            <w:tcW w:w="190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74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600" w:type="dxa"/>
            <w:vAlign w:val="bottom"/>
          </w:tcPr>
          <w:p>
            <w:pPr>
              <w:jc w:val="right"/>
              <w:ind w:right="13"/>
              <w:spacing w:after="0" w:line="240" w:lineRule="exact"/>
              <w:rPr>
                <w:sz w:val="20"/>
                <w:szCs w:val="20"/>
                <w:color w:val="auto"/>
              </w:rPr>
            </w:pPr>
            <w:r>
              <w:rPr>
                <w:rFonts w:ascii="Arial" w:cs="Arial" w:eastAsia="Arial" w:hAnsi="Arial"/>
                <w:sz w:val="21"/>
                <w:szCs w:val="21"/>
                <w:color w:val="auto"/>
              </w:rPr>
              <w:t>377</w:t>
            </w:r>
          </w:p>
        </w:tc>
        <w:tc>
          <w:tcPr>
            <w:tcW w:w="58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820" w:type="dxa"/>
            <w:vAlign w:val="bottom"/>
          </w:tcPr>
          <w:p>
            <w:pPr>
              <w:jc w:val="right"/>
              <w:ind w:right="13"/>
              <w:spacing w:after="0" w:line="240" w:lineRule="exact"/>
              <w:rPr>
                <w:sz w:val="20"/>
                <w:szCs w:val="20"/>
                <w:color w:val="auto"/>
              </w:rPr>
            </w:pPr>
            <w:r>
              <w:rPr>
                <w:rFonts w:ascii="Arial" w:cs="Arial" w:eastAsia="Arial" w:hAnsi="Arial"/>
                <w:sz w:val="21"/>
                <w:szCs w:val="21"/>
                <w:color w:val="auto"/>
              </w:rPr>
              <w:t>259</w:t>
            </w:r>
          </w:p>
        </w:tc>
        <w:tc>
          <w:tcPr>
            <w:tcW w:w="66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tcPr>
          <w:p>
            <w:pPr>
              <w:jc w:val="right"/>
              <w:ind w:right="33"/>
              <w:spacing w:after="0" w:line="240" w:lineRule="exact"/>
              <w:rPr>
                <w:sz w:val="20"/>
                <w:szCs w:val="20"/>
                <w:color w:val="auto"/>
              </w:rPr>
            </w:pPr>
            <w:r>
              <w:rPr>
                <w:rFonts w:ascii="Arial" w:cs="Arial" w:eastAsia="Arial" w:hAnsi="Arial"/>
                <w:sz w:val="21"/>
                <w:szCs w:val="21"/>
                <w:color w:val="auto"/>
              </w:rPr>
              <w:t>636</w:t>
            </w:r>
          </w:p>
        </w:tc>
        <w:tc>
          <w:tcPr>
            <w:tcW w:w="86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spacing w:after="0" w:line="240" w:lineRule="exact"/>
              <w:rPr>
                <w:sz w:val="20"/>
                <w:szCs w:val="20"/>
                <w:color w:val="auto"/>
              </w:rPr>
            </w:pPr>
            <w:r>
              <w:rPr>
                <w:rFonts w:ascii="Arial" w:cs="Arial" w:eastAsia="Arial" w:hAnsi="Arial"/>
                <w:sz w:val="21"/>
                <w:szCs w:val="21"/>
                <w:color w:val="auto"/>
                <w:w w:val="96"/>
              </w:rPr>
              <w:t>222</w:t>
            </w:r>
          </w:p>
        </w:tc>
        <w:tc>
          <w:tcPr>
            <w:tcW w:w="56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21"/>
                <w:szCs w:val="21"/>
                <w:color w:val="auto"/>
              </w:rPr>
              <w:t>180</w:t>
            </w:r>
          </w:p>
        </w:tc>
        <w:tc>
          <w:tcPr>
            <w:tcW w:w="74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(350)</w:t>
            </w:r>
          </w:p>
        </w:tc>
        <w:tc>
          <w:tcPr>
            <w:tcW w:w="84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spacing w:after="0" w:line="240" w:lineRule="exact"/>
              <w:rPr>
                <w:sz w:val="20"/>
                <w:szCs w:val="20"/>
                <w:color w:val="auto"/>
              </w:rPr>
            </w:pPr>
            <w:r>
              <w:rPr>
                <w:rFonts w:ascii="Arial" w:cs="Arial" w:eastAsia="Arial" w:hAnsi="Arial"/>
                <w:sz w:val="21"/>
                <w:szCs w:val="21"/>
                <w:color w:val="auto"/>
              </w:rPr>
              <w:t>51</w:t>
            </w:r>
          </w:p>
        </w:tc>
      </w:tr>
      <w:tr>
        <w:trPr>
          <w:trHeight w:val="240"/>
        </w:trPr>
        <w:tc>
          <w:tcPr>
            <w:tcW w:w="190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3</w:t>
            </w:r>
          </w:p>
        </w:tc>
        <w:tc>
          <w:tcPr>
            <w:tcW w:w="740" w:type="dxa"/>
            <w:vAlign w:val="bottom"/>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600" w:type="dxa"/>
            <w:vAlign w:val="bottom"/>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50</w:t>
            </w:r>
          </w:p>
        </w:tc>
        <w:tc>
          <w:tcPr>
            <w:tcW w:w="580" w:type="dxa"/>
            <w:vAlign w:val="bottom"/>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820" w:type="dxa"/>
            <w:vAlign w:val="bottom"/>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660" w:type="dxa"/>
            <w:vAlign w:val="bottom"/>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shd w:val="clear" w:color="auto" w:fill="CCEEFF"/>
          </w:tcPr>
          <w:p>
            <w:pPr>
              <w:jc w:val="right"/>
              <w:ind w:right="33"/>
              <w:spacing w:after="0" w:line="240" w:lineRule="exact"/>
              <w:rPr>
                <w:sz w:val="20"/>
                <w:szCs w:val="20"/>
                <w:color w:val="auto"/>
              </w:rPr>
            </w:pPr>
            <w:r>
              <w:rPr>
                <w:rFonts w:ascii="Arial" w:cs="Arial" w:eastAsia="Arial" w:hAnsi="Arial"/>
                <w:sz w:val="21"/>
                <w:szCs w:val="21"/>
                <w:color w:val="auto"/>
              </w:rPr>
              <w:t>91</w:t>
            </w:r>
          </w:p>
        </w:tc>
        <w:tc>
          <w:tcPr>
            <w:tcW w:w="860" w:type="dxa"/>
            <w:vAlign w:val="bottom"/>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51</w:t>
            </w:r>
          </w:p>
        </w:tc>
        <w:tc>
          <w:tcPr>
            <w:tcW w:w="560" w:type="dxa"/>
            <w:vAlign w:val="bottom"/>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78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42</w:t>
            </w:r>
          </w:p>
        </w:tc>
        <w:tc>
          <w:tcPr>
            <w:tcW w:w="740" w:type="dxa"/>
            <w:vAlign w:val="bottom"/>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(50)</w:t>
            </w:r>
          </w:p>
        </w:tc>
        <w:tc>
          <w:tcPr>
            <w:tcW w:w="840" w:type="dxa"/>
            <w:vAlign w:val="bottom"/>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43</w:t>
            </w:r>
          </w:p>
        </w:tc>
      </w:tr>
      <w:tr>
        <w:trPr>
          <w:trHeight w:val="240"/>
        </w:trPr>
        <w:tc>
          <w:tcPr>
            <w:tcW w:w="190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74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600" w:type="dxa"/>
            <w:vAlign w:val="bottom"/>
          </w:tcPr>
          <w:p>
            <w:pPr>
              <w:jc w:val="right"/>
              <w:ind w:right="13"/>
              <w:spacing w:after="0" w:line="240" w:lineRule="exact"/>
              <w:rPr>
                <w:sz w:val="20"/>
                <w:szCs w:val="20"/>
                <w:color w:val="auto"/>
              </w:rPr>
            </w:pPr>
            <w:r>
              <w:rPr>
                <w:rFonts w:ascii="Arial" w:cs="Arial" w:eastAsia="Arial" w:hAnsi="Arial"/>
                <w:sz w:val="21"/>
                <w:szCs w:val="21"/>
                <w:color w:val="auto"/>
              </w:rPr>
              <w:t>50</w:t>
            </w:r>
          </w:p>
        </w:tc>
        <w:tc>
          <w:tcPr>
            <w:tcW w:w="58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820" w:type="dxa"/>
            <w:vAlign w:val="bottom"/>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66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right w:val="single" w:sz="8" w:color="auto"/>
            </w:tcBorders>
          </w:tcPr>
          <w:p>
            <w:pPr>
              <w:jc w:val="right"/>
              <w:ind w:right="33"/>
              <w:spacing w:after="0" w:line="240" w:lineRule="exact"/>
              <w:rPr>
                <w:sz w:val="20"/>
                <w:szCs w:val="20"/>
                <w:color w:val="auto"/>
              </w:rPr>
            </w:pPr>
            <w:r>
              <w:rPr>
                <w:rFonts w:ascii="Arial" w:cs="Arial" w:eastAsia="Arial" w:hAnsi="Arial"/>
                <w:sz w:val="21"/>
                <w:szCs w:val="21"/>
                <w:color w:val="auto"/>
              </w:rPr>
              <w:t>91</w:t>
            </w:r>
          </w:p>
        </w:tc>
        <w:tc>
          <w:tcPr>
            <w:tcW w:w="86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spacing w:after="0" w:line="240" w:lineRule="exact"/>
              <w:rPr>
                <w:sz w:val="20"/>
                <w:szCs w:val="20"/>
                <w:color w:val="auto"/>
              </w:rPr>
            </w:pPr>
            <w:r>
              <w:rPr>
                <w:rFonts w:ascii="Arial" w:cs="Arial" w:eastAsia="Arial" w:hAnsi="Arial"/>
                <w:sz w:val="21"/>
                <w:szCs w:val="21"/>
                <w:color w:val="auto"/>
              </w:rPr>
              <w:t>43</w:t>
            </w:r>
          </w:p>
        </w:tc>
        <w:tc>
          <w:tcPr>
            <w:tcW w:w="56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21"/>
                <w:szCs w:val="21"/>
                <w:color w:val="auto"/>
              </w:rPr>
              <w:t>35</w:t>
            </w:r>
          </w:p>
        </w:tc>
        <w:tc>
          <w:tcPr>
            <w:tcW w:w="740" w:type="dxa"/>
            <w:vAlign w:val="bottom"/>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(50)</w:t>
            </w:r>
          </w:p>
        </w:tc>
        <w:tc>
          <w:tcPr>
            <w:tcW w:w="84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spacing w:after="0" w:line="240" w:lineRule="exact"/>
              <w:rPr>
                <w:sz w:val="20"/>
                <w:szCs w:val="20"/>
                <w:color w:val="auto"/>
              </w:rPr>
            </w:pPr>
            <w:r>
              <w:rPr>
                <w:rFonts w:ascii="Arial" w:cs="Arial" w:eastAsia="Arial" w:hAnsi="Arial"/>
                <w:sz w:val="21"/>
                <w:szCs w:val="21"/>
                <w:color w:val="auto"/>
              </w:rPr>
              <w:t>28</w:t>
            </w:r>
          </w:p>
        </w:tc>
      </w:tr>
      <w:tr>
        <w:trPr>
          <w:trHeight w:val="240"/>
        </w:trPr>
        <w:tc>
          <w:tcPr>
            <w:tcW w:w="190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5</w:t>
            </w:r>
          </w:p>
        </w:tc>
        <w:tc>
          <w:tcPr>
            <w:tcW w:w="740" w:type="dxa"/>
            <w:vAlign w:val="bottom"/>
            <w:tcBorders>
              <w:bottom w:val="single" w:sz="8" w:color="auto"/>
            </w:tcBorders>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600" w:type="dxa"/>
            <w:vAlign w:val="bottom"/>
            <w:tcBorders>
              <w:bottom w:val="single" w:sz="8" w:color="auto"/>
            </w:tcBorders>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50</w:t>
            </w:r>
          </w:p>
        </w:tc>
        <w:tc>
          <w:tcPr>
            <w:tcW w:w="580" w:type="dxa"/>
            <w:vAlign w:val="bottom"/>
            <w:tcBorders>
              <w:bottom w:val="single" w:sz="8" w:color="auto"/>
            </w:tcBorders>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820" w:type="dxa"/>
            <w:vAlign w:val="bottom"/>
            <w:tcBorders>
              <w:bottom w:val="single" w:sz="8" w:color="auto"/>
            </w:tcBorders>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660" w:type="dxa"/>
            <w:vAlign w:val="bottom"/>
            <w:tcBorders>
              <w:bottom w:val="single" w:sz="8" w:color="auto"/>
            </w:tcBorders>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760" w:type="dxa"/>
            <w:vAlign w:val="bottom"/>
            <w:tcBorders>
              <w:bottom w:val="single" w:sz="8" w:color="auto"/>
              <w:right w:val="single" w:sz="8" w:color="auto"/>
            </w:tcBorders>
            <w:shd w:val="clear" w:color="auto" w:fill="CCEEFF"/>
          </w:tcPr>
          <w:p>
            <w:pPr>
              <w:jc w:val="right"/>
              <w:ind w:right="33"/>
              <w:spacing w:after="0" w:line="240" w:lineRule="exact"/>
              <w:rPr>
                <w:sz w:val="20"/>
                <w:szCs w:val="20"/>
                <w:color w:val="auto"/>
              </w:rPr>
            </w:pPr>
            <w:r>
              <w:rPr>
                <w:rFonts w:ascii="Arial" w:cs="Arial" w:eastAsia="Arial" w:hAnsi="Arial"/>
                <w:sz w:val="21"/>
                <w:szCs w:val="21"/>
                <w:color w:val="auto"/>
              </w:rPr>
              <w:t>91</w:t>
            </w:r>
          </w:p>
        </w:tc>
        <w:tc>
          <w:tcPr>
            <w:tcW w:w="860" w:type="dxa"/>
            <w:vAlign w:val="bottom"/>
            <w:tcBorders>
              <w:bottom w:val="single" w:sz="8" w:color="auto"/>
            </w:tcBorders>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28</w:t>
            </w:r>
          </w:p>
        </w:tc>
        <w:tc>
          <w:tcPr>
            <w:tcW w:w="560" w:type="dxa"/>
            <w:vAlign w:val="bottom"/>
            <w:tcBorders>
              <w:bottom w:val="single" w:sz="8" w:color="auto"/>
            </w:tcBorders>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78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22</w:t>
            </w:r>
          </w:p>
        </w:tc>
        <w:tc>
          <w:tcPr>
            <w:tcW w:w="740" w:type="dxa"/>
            <w:vAlign w:val="bottom"/>
            <w:tcBorders>
              <w:bottom w:val="single" w:sz="8" w:color="auto"/>
            </w:tcBorders>
            <w:shd w:val="clear" w:color="auto" w:fill="CCEEFF"/>
          </w:tcPr>
          <w:p>
            <w:pPr>
              <w:ind w:left="120"/>
              <w:spacing w:after="0" w:line="240" w:lineRule="exact"/>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(50)</w:t>
            </w:r>
          </w:p>
        </w:tc>
        <w:tc>
          <w:tcPr>
            <w:tcW w:w="840" w:type="dxa"/>
            <w:vAlign w:val="bottom"/>
            <w:tcBorders>
              <w:bottom w:val="single" w:sz="8" w:color="auto"/>
            </w:tcBorders>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46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0</w:t>
            </w:r>
          </w:p>
        </w:tc>
      </w:tr>
      <w:tr>
        <w:trPr>
          <w:trHeight w:val="233"/>
        </w:trPr>
        <w:tc>
          <w:tcPr>
            <w:tcW w:w="1900" w:type="dxa"/>
            <w:vAlign w:val="bottom"/>
          </w:tcPr>
          <w:p>
            <w:pPr>
              <w:jc w:val="right"/>
              <w:spacing w:after="0" w:line="233" w:lineRule="exact"/>
              <w:rPr>
                <w:sz w:val="20"/>
                <w:szCs w:val="20"/>
                <w:color w:val="auto"/>
              </w:rPr>
            </w:pPr>
            <w:r>
              <w:rPr>
                <w:rFonts w:ascii="Arial" w:cs="Arial" w:eastAsia="Arial" w:hAnsi="Arial"/>
                <w:sz w:val="21"/>
                <w:szCs w:val="21"/>
                <w:b w:val="1"/>
                <w:bCs w:val="1"/>
                <w:color w:val="auto"/>
              </w:rPr>
              <w:t>Total</w:t>
            </w:r>
          </w:p>
        </w:tc>
        <w:tc>
          <w:tcPr>
            <w:tcW w:w="740" w:type="dxa"/>
            <w:vAlign w:val="bottom"/>
          </w:tcPr>
          <w:p>
            <w:pPr>
              <w:ind w:left="60"/>
              <w:spacing w:after="0" w:line="233" w:lineRule="exact"/>
              <w:rPr>
                <w:sz w:val="20"/>
                <w:szCs w:val="20"/>
                <w:color w:val="auto"/>
              </w:rPr>
            </w:pPr>
            <w:r>
              <w:rPr>
                <w:rFonts w:ascii="Arial" w:cs="Arial" w:eastAsia="Arial" w:hAnsi="Arial"/>
                <w:sz w:val="21"/>
                <w:szCs w:val="21"/>
                <w:b w:val="1"/>
                <w:bCs w:val="1"/>
                <w:color w:val="auto"/>
              </w:rPr>
              <w:t>$</w:t>
            </w:r>
          </w:p>
        </w:tc>
        <w:tc>
          <w:tcPr>
            <w:tcW w:w="600" w:type="dxa"/>
            <w:vAlign w:val="bottom"/>
          </w:tcPr>
          <w:p>
            <w:pPr>
              <w:jc w:val="right"/>
              <w:ind w:right="13"/>
              <w:spacing w:after="0" w:line="233" w:lineRule="exact"/>
              <w:rPr>
                <w:sz w:val="20"/>
                <w:szCs w:val="20"/>
                <w:color w:val="auto"/>
              </w:rPr>
            </w:pPr>
            <w:r>
              <w:rPr>
                <w:rFonts w:ascii="Arial" w:cs="Arial" w:eastAsia="Arial" w:hAnsi="Arial"/>
                <w:sz w:val="21"/>
                <w:szCs w:val="21"/>
                <w:b w:val="1"/>
                <w:bCs w:val="1"/>
                <w:color w:val="auto"/>
              </w:rPr>
              <w:t>577</w:t>
            </w:r>
          </w:p>
        </w:tc>
        <w:tc>
          <w:tcPr>
            <w:tcW w:w="580" w:type="dxa"/>
            <w:vAlign w:val="bottom"/>
          </w:tcPr>
          <w:p>
            <w:pPr>
              <w:ind w:left="120"/>
              <w:spacing w:after="0" w:line="233" w:lineRule="exact"/>
              <w:rPr>
                <w:sz w:val="20"/>
                <w:szCs w:val="20"/>
                <w:color w:val="auto"/>
              </w:rPr>
            </w:pPr>
            <w:r>
              <w:rPr>
                <w:rFonts w:ascii="Arial" w:cs="Arial" w:eastAsia="Arial" w:hAnsi="Arial"/>
                <w:sz w:val="21"/>
                <w:szCs w:val="21"/>
                <w:b w:val="1"/>
                <w:bCs w:val="1"/>
                <w:color w:val="auto"/>
              </w:rPr>
              <w:t>$</w:t>
            </w:r>
          </w:p>
        </w:tc>
        <w:tc>
          <w:tcPr>
            <w:tcW w:w="820" w:type="dxa"/>
            <w:vAlign w:val="bottom"/>
          </w:tcPr>
          <w:p>
            <w:pPr>
              <w:jc w:val="right"/>
              <w:ind w:right="13"/>
              <w:spacing w:after="0" w:line="233" w:lineRule="exact"/>
              <w:rPr>
                <w:sz w:val="20"/>
                <w:szCs w:val="20"/>
                <w:color w:val="auto"/>
              </w:rPr>
            </w:pPr>
            <w:r>
              <w:rPr>
                <w:rFonts w:ascii="Arial" w:cs="Arial" w:eastAsia="Arial" w:hAnsi="Arial"/>
                <w:sz w:val="21"/>
                <w:szCs w:val="21"/>
                <w:b w:val="1"/>
                <w:bCs w:val="1"/>
                <w:color w:val="auto"/>
              </w:rPr>
              <w:t>423</w:t>
            </w:r>
          </w:p>
        </w:tc>
        <w:tc>
          <w:tcPr>
            <w:tcW w:w="660" w:type="dxa"/>
            <w:vAlign w:val="bottom"/>
          </w:tcPr>
          <w:p>
            <w:pPr>
              <w:ind w:left="120"/>
              <w:spacing w:after="0" w:line="233" w:lineRule="exact"/>
              <w:rPr>
                <w:sz w:val="20"/>
                <w:szCs w:val="20"/>
                <w:color w:val="auto"/>
              </w:rPr>
            </w:pPr>
            <w:r>
              <w:rPr>
                <w:rFonts w:ascii="Arial" w:cs="Arial" w:eastAsia="Arial" w:hAnsi="Arial"/>
                <w:sz w:val="21"/>
                <w:szCs w:val="21"/>
                <w:b w:val="1"/>
                <w:bCs w:val="1"/>
                <w:color w:val="auto"/>
              </w:rPr>
              <w:t>$</w:t>
            </w:r>
          </w:p>
        </w:tc>
        <w:tc>
          <w:tcPr>
            <w:tcW w:w="760" w:type="dxa"/>
            <w:vAlign w:val="bottom"/>
            <w:tcBorders>
              <w:right w:val="single" w:sz="8" w:color="auto"/>
            </w:tcBorders>
          </w:tcPr>
          <w:p>
            <w:pPr>
              <w:jc w:val="right"/>
              <w:ind w:right="33"/>
              <w:spacing w:after="0" w:line="233" w:lineRule="exact"/>
              <w:rPr>
                <w:sz w:val="20"/>
                <w:szCs w:val="20"/>
                <w:color w:val="auto"/>
              </w:rPr>
            </w:pPr>
            <w:r>
              <w:rPr>
                <w:rFonts w:ascii="Arial" w:cs="Arial" w:eastAsia="Arial" w:hAnsi="Arial"/>
                <w:sz w:val="21"/>
                <w:szCs w:val="21"/>
                <w:b w:val="1"/>
                <w:bCs w:val="1"/>
                <w:color w:val="auto"/>
              </w:rPr>
              <w:t>1,000</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ind w:left="100"/>
              <w:spacing w:after="0" w:line="233" w:lineRule="exact"/>
              <w:rPr>
                <w:sz w:val="20"/>
                <w:szCs w:val="20"/>
                <w:color w:val="auto"/>
              </w:rPr>
            </w:pPr>
            <w:r>
              <w:rPr>
                <w:rFonts w:ascii="Arial" w:cs="Arial" w:eastAsia="Arial" w:hAnsi="Arial"/>
                <w:sz w:val="21"/>
                <w:szCs w:val="21"/>
                <w:b w:val="1"/>
                <w:bCs w:val="1"/>
                <w:color w:val="auto"/>
              </w:rPr>
              <w:t>$</w:t>
            </w:r>
          </w:p>
        </w:tc>
        <w:tc>
          <w:tcPr>
            <w:tcW w:w="780" w:type="dxa"/>
            <w:vAlign w:val="bottom"/>
          </w:tcPr>
          <w:p>
            <w:pPr>
              <w:jc w:val="right"/>
              <w:spacing w:after="0" w:line="233" w:lineRule="exact"/>
              <w:rPr>
                <w:sz w:val="20"/>
                <w:szCs w:val="20"/>
                <w:color w:val="auto"/>
              </w:rPr>
            </w:pPr>
            <w:r>
              <w:rPr>
                <w:rFonts w:ascii="Arial" w:cs="Arial" w:eastAsia="Arial" w:hAnsi="Arial"/>
                <w:sz w:val="21"/>
                <w:szCs w:val="21"/>
                <w:b w:val="1"/>
                <w:bCs w:val="1"/>
                <w:color w:val="auto"/>
              </w:rPr>
              <w:t>400</w:t>
            </w:r>
          </w:p>
        </w:tc>
        <w:tc>
          <w:tcPr>
            <w:tcW w:w="740" w:type="dxa"/>
            <w:vAlign w:val="bottom"/>
          </w:tcPr>
          <w:p>
            <w:pPr>
              <w:ind w:left="120"/>
              <w:spacing w:after="0" w:line="233" w:lineRule="exact"/>
              <w:rPr>
                <w:sz w:val="20"/>
                <w:szCs w:val="20"/>
                <w:color w:val="auto"/>
              </w:rPr>
            </w:pPr>
            <w:r>
              <w:rPr>
                <w:rFonts w:ascii="Arial" w:cs="Arial" w:eastAsia="Arial" w:hAnsi="Arial"/>
                <w:sz w:val="21"/>
                <w:szCs w:val="21"/>
                <w:b w:val="1"/>
                <w:bCs w:val="1"/>
                <w:color w:val="auto"/>
              </w:rPr>
              <w:t>$</w:t>
            </w:r>
          </w:p>
        </w:tc>
        <w:tc>
          <w:tcPr>
            <w:tcW w:w="660" w:type="dxa"/>
            <w:vAlign w:val="bottom"/>
          </w:tcPr>
          <w:p>
            <w:pPr>
              <w:jc w:val="right"/>
              <w:spacing w:after="0" w:line="233" w:lineRule="exact"/>
              <w:rPr>
                <w:sz w:val="20"/>
                <w:szCs w:val="20"/>
                <w:color w:val="auto"/>
              </w:rPr>
            </w:pPr>
            <w:r>
              <w:rPr>
                <w:rFonts w:ascii="Arial" w:cs="Arial" w:eastAsia="Arial" w:hAnsi="Arial"/>
                <w:sz w:val="21"/>
                <w:szCs w:val="21"/>
                <w:b w:val="1"/>
                <w:bCs w:val="1"/>
                <w:color w:val="auto"/>
              </w:rPr>
              <w:t>(550)</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 Components may not sum due to rounding</w:t>
      </w:r>
    </w:p>
    <w:p>
      <w:pPr>
        <w:spacing w:after="0" w:line="200" w:lineRule="exact"/>
        <w:rPr>
          <w:sz w:val="20"/>
          <w:szCs w:val="20"/>
          <w:color w:val="auto"/>
        </w:rPr>
      </w:pPr>
    </w:p>
    <w:p>
      <w:pPr>
        <w:spacing w:after="0" w:line="277" w:lineRule="exact"/>
        <w:rPr>
          <w:sz w:val="20"/>
          <w:szCs w:val="20"/>
          <w:color w:val="auto"/>
        </w:rPr>
      </w:pPr>
    </w:p>
    <w:p>
      <w:pPr>
        <w:ind w:right="200" w:firstLine="1280"/>
        <w:spacing w:after="0" w:line="248" w:lineRule="auto"/>
        <w:rPr>
          <w:sz w:val="20"/>
          <w:szCs w:val="20"/>
          <w:color w:val="auto"/>
        </w:rPr>
      </w:pPr>
      <w:r>
        <w:rPr>
          <w:rFonts w:ascii="Arial" w:cs="Arial" w:eastAsia="Arial" w:hAnsi="Arial"/>
          <w:sz w:val="21"/>
          <w:szCs w:val="21"/>
          <w:color w:val="auto"/>
        </w:rPr>
        <w:t>The internal rate of return calculated using the cash flows from years 3 – 5 (year 3 - $50; year 4 - $50, and year 5 - $50) and the carrying value at the end of the second year ($51) is equal to 81%, unchanged from the yield expected at acquisition, even though cash flows differed from expectations. A credit to non-interest income is recognized in the amount by which proceeds exceed allocated carrying value, $27 in year 2 in this example.</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Table 2b illustrates the accounting entries that would be made each year if cash flows occur as described in Table 2a</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558165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 xml:space="preserve">Table 2b – Accounting Entries Based on Actual Results </w:t>
      </w:r>
      <w:r>
        <w:rPr>
          <w:rFonts w:ascii="Arial" w:cs="Arial" w:eastAsia="Arial" w:hAnsi="Arial"/>
          <w:sz w:val="14"/>
          <w:szCs w:val="14"/>
          <w:b w:val="1"/>
          <w:bCs w:val="1"/>
          <w:color w:val="auto"/>
        </w:rPr>
        <w:t>(1)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line="212" w:lineRule="exact"/>
              <w:rPr>
                <w:sz w:val="20"/>
                <w:szCs w:val="20"/>
                <w:color w:val="auto"/>
              </w:rPr>
            </w:pPr>
            <w:r>
              <w:rPr>
                <w:rFonts w:ascii="Arial" w:cs="Arial" w:eastAsia="Arial" w:hAnsi="Arial"/>
                <w:sz w:val="21"/>
                <w:szCs w:val="21"/>
                <w:color w:val="auto"/>
                <w:w w:val="97"/>
              </w:rPr>
              <w:t>Nonaccretable</w:t>
            </w: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100"/>
              <w:spacing w:after="0" w:line="212" w:lineRule="exact"/>
              <w:rPr>
                <w:sz w:val="20"/>
                <w:szCs w:val="20"/>
                <w:color w:val="auto"/>
              </w:rPr>
            </w:pPr>
            <w:r>
              <w:rPr>
                <w:rFonts w:ascii="Arial" w:cs="Arial" w:eastAsia="Arial" w:hAnsi="Arial"/>
                <w:sz w:val="21"/>
                <w:szCs w:val="21"/>
                <w:color w:val="auto"/>
                <w:w w:val="97"/>
              </w:rPr>
              <w:t>Interest</w:t>
            </w:r>
          </w:p>
        </w:tc>
        <w:tc>
          <w:tcPr>
            <w:tcW w:w="5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80"/>
              <w:spacing w:after="0" w:line="212" w:lineRule="exact"/>
              <w:rPr>
                <w:sz w:val="20"/>
                <w:szCs w:val="20"/>
                <w:color w:val="auto"/>
              </w:rPr>
            </w:pPr>
            <w:r>
              <w:rPr>
                <w:rFonts w:ascii="Arial" w:cs="Arial" w:eastAsia="Arial" w:hAnsi="Arial"/>
                <w:sz w:val="21"/>
                <w:szCs w:val="21"/>
                <w:color w:val="auto"/>
              </w:rPr>
              <w:t>Accretable</w:t>
            </w:r>
          </w:p>
        </w:tc>
        <w:tc>
          <w:tcPr>
            <w:tcW w:w="1340" w:type="dxa"/>
            <w:vAlign w:val="bottom"/>
            <w:tcBorders>
              <w:top w:val="single" w:sz="8" w:color="auto"/>
            </w:tcBorders>
            <w:gridSpan w:val="2"/>
          </w:tcPr>
          <w:p>
            <w:pPr>
              <w:ind w:left="100"/>
              <w:spacing w:after="0" w:line="212" w:lineRule="exact"/>
              <w:rPr>
                <w:sz w:val="20"/>
                <w:szCs w:val="20"/>
                <w:color w:val="auto"/>
              </w:rPr>
            </w:pPr>
            <w:r>
              <w:rPr>
                <w:rFonts w:ascii="Arial" w:cs="Arial" w:eastAsia="Arial" w:hAnsi="Arial"/>
                <w:sz w:val="21"/>
                <w:szCs w:val="21"/>
                <w:color w:val="auto"/>
              </w:rPr>
              <w:t>Non Interest</w:t>
            </w:r>
          </w:p>
        </w:tc>
      </w:tr>
      <w:tr>
        <w:trPr>
          <w:trHeight w:val="240"/>
        </w:trPr>
        <w:tc>
          <w:tcPr>
            <w:tcW w:w="3260" w:type="dxa"/>
            <w:vAlign w:val="bottom"/>
          </w:tcPr>
          <w:p>
            <w:pPr>
              <w:spacing w:after="0"/>
              <w:rPr>
                <w:sz w:val="20"/>
                <w:szCs w:val="20"/>
                <w:color w:val="auto"/>
              </w:rPr>
            </w:pPr>
          </w:p>
        </w:tc>
        <w:tc>
          <w:tcPr>
            <w:tcW w:w="580" w:type="dxa"/>
            <w:vAlign w:val="bottom"/>
          </w:tcPr>
          <w:p>
            <w:pPr>
              <w:ind w:left="60"/>
              <w:spacing w:after="0" w:line="240" w:lineRule="exact"/>
              <w:rPr>
                <w:sz w:val="20"/>
                <w:szCs w:val="20"/>
                <w:color w:val="auto"/>
              </w:rPr>
            </w:pPr>
            <w:r>
              <w:rPr>
                <w:rFonts w:ascii="Arial" w:cs="Arial" w:eastAsia="Arial" w:hAnsi="Arial"/>
                <w:sz w:val="21"/>
                <w:szCs w:val="21"/>
                <w:color w:val="auto"/>
              </w:rPr>
              <w:t>UPB</w:t>
            </w:r>
          </w:p>
        </w:tc>
        <w:tc>
          <w:tcPr>
            <w:tcW w:w="780" w:type="dxa"/>
            <w:vAlign w:val="bottom"/>
          </w:tcPr>
          <w:p>
            <w:pPr>
              <w:spacing w:after="0"/>
              <w:rPr>
                <w:sz w:val="20"/>
                <w:szCs w:val="20"/>
                <w:color w:val="auto"/>
              </w:rPr>
            </w:pPr>
          </w:p>
        </w:tc>
        <w:tc>
          <w:tcPr>
            <w:tcW w:w="920" w:type="dxa"/>
            <w:vAlign w:val="bottom"/>
          </w:tcPr>
          <w:p>
            <w:pPr>
              <w:ind w:left="80"/>
              <w:spacing w:after="0" w:line="240" w:lineRule="exact"/>
              <w:rPr>
                <w:sz w:val="20"/>
                <w:szCs w:val="20"/>
                <w:color w:val="auto"/>
              </w:rPr>
            </w:pPr>
            <w:r>
              <w:rPr>
                <w:rFonts w:ascii="Arial" w:cs="Arial" w:eastAsia="Arial" w:hAnsi="Arial"/>
                <w:sz w:val="21"/>
                <w:szCs w:val="21"/>
                <w:color w:val="auto"/>
              </w:rPr>
              <w:t>Discount</w:t>
            </w:r>
          </w:p>
        </w:tc>
        <w:tc>
          <w:tcPr>
            <w:tcW w:w="500" w:type="dxa"/>
            <w:vAlign w:val="bottom"/>
          </w:tcPr>
          <w:p>
            <w:pPr>
              <w:spacing w:after="0"/>
              <w:rPr>
                <w:sz w:val="20"/>
                <w:szCs w:val="20"/>
                <w:color w:val="auto"/>
              </w:rPr>
            </w:pPr>
          </w:p>
        </w:tc>
        <w:tc>
          <w:tcPr>
            <w:tcW w:w="820" w:type="dxa"/>
            <w:vAlign w:val="bottom"/>
          </w:tcPr>
          <w:p>
            <w:pPr>
              <w:ind w:left="100"/>
              <w:spacing w:after="0" w:line="240" w:lineRule="exact"/>
              <w:rPr>
                <w:sz w:val="20"/>
                <w:szCs w:val="20"/>
                <w:color w:val="auto"/>
              </w:rPr>
            </w:pPr>
            <w:r>
              <w:rPr>
                <w:rFonts w:ascii="Arial" w:cs="Arial" w:eastAsia="Arial" w:hAnsi="Arial"/>
                <w:sz w:val="21"/>
                <w:szCs w:val="21"/>
                <w:color w:val="auto"/>
              </w:rPr>
              <w:t>Cash</w:t>
            </w:r>
          </w:p>
        </w:tc>
        <w:tc>
          <w:tcPr>
            <w:tcW w:w="520" w:type="dxa"/>
            <w:vAlign w:val="bottom"/>
          </w:tcPr>
          <w:p>
            <w:pPr>
              <w:spacing w:after="0"/>
              <w:rPr>
                <w:sz w:val="20"/>
                <w:szCs w:val="20"/>
                <w:color w:val="auto"/>
              </w:rPr>
            </w:pPr>
          </w:p>
        </w:tc>
        <w:tc>
          <w:tcPr>
            <w:tcW w:w="1380" w:type="dxa"/>
            <w:vAlign w:val="bottom"/>
            <w:gridSpan w:val="2"/>
          </w:tcPr>
          <w:p>
            <w:pPr>
              <w:ind w:left="100"/>
              <w:spacing w:after="0" w:line="240" w:lineRule="exact"/>
              <w:rPr>
                <w:sz w:val="20"/>
                <w:szCs w:val="20"/>
                <w:color w:val="auto"/>
              </w:rPr>
            </w:pPr>
            <w:r>
              <w:rPr>
                <w:rFonts w:ascii="Arial" w:cs="Arial" w:eastAsia="Arial" w:hAnsi="Arial"/>
                <w:sz w:val="21"/>
                <w:szCs w:val="21"/>
                <w:color w:val="auto"/>
              </w:rPr>
              <w:t>Income (Cr)</w:t>
            </w:r>
          </w:p>
        </w:tc>
        <w:tc>
          <w:tcPr>
            <w:tcW w:w="860" w:type="dxa"/>
            <w:vAlign w:val="bottom"/>
          </w:tcPr>
          <w:p>
            <w:pPr>
              <w:ind w:left="80"/>
              <w:spacing w:after="0" w:line="240" w:lineRule="exact"/>
              <w:rPr>
                <w:sz w:val="20"/>
                <w:szCs w:val="20"/>
                <w:color w:val="auto"/>
              </w:rPr>
            </w:pPr>
            <w:r>
              <w:rPr>
                <w:rFonts w:ascii="Arial" w:cs="Arial" w:eastAsia="Arial" w:hAnsi="Arial"/>
                <w:sz w:val="21"/>
                <w:szCs w:val="21"/>
                <w:color w:val="auto"/>
                <w:w w:val="92"/>
              </w:rPr>
              <w:t>Discount</w:t>
            </w:r>
          </w:p>
        </w:tc>
        <w:tc>
          <w:tcPr>
            <w:tcW w:w="460" w:type="dxa"/>
            <w:vAlign w:val="bottom"/>
          </w:tcPr>
          <w:p>
            <w:pPr>
              <w:spacing w:after="0"/>
              <w:rPr>
                <w:sz w:val="20"/>
                <w:szCs w:val="20"/>
                <w:color w:val="auto"/>
              </w:rPr>
            </w:pPr>
          </w:p>
        </w:tc>
        <w:tc>
          <w:tcPr>
            <w:tcW w:w="1340" w:type="dxa"/>
            <w:vAlign w:val="bottom"/>
            <w:gridSpan w:val="2"/>
          </w:tcPr>
          <w:p>
            <w:pPr>
              <w:ind w:left="100"/>
              <w:spacing w:after="0" w:line="240" w:lineRule="exact"/>
              <w:rPr>
                <w:sz w:val="20"/>
                <w:szCs w:val="20"/>
                <w:color w:val="auto"/>
              </w:rPr>
            </w:pPr>
            <w:r>
              <w:rPr>
                <w:rFonts w:ascii="Arial" w:cs="Arial" w:eastAsia="Arial" w:hAnsi="Arial"/>
                <w:sz w:val="21"/>
                <w:szCs w:val="21"/>
                <w:color w:val="auto"/>
              </w:rPr>
              <w:t>Income (Cr)</w:t>
            </w:r>
          </w:p>
        </w:tc>
      </w:tr>
      <w:tr>
        <w:trPr>
          <w:trHeight w:val="261"/>
        </w:trPr>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Year</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(Cr) Dr</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(Cr) Dr</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(Cr) Dr</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Dr</w:t>
            </w: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(Cr) Dr</w:t>
            </w: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Dr</w:t>
            </w:r>
          </w:p>
        </w:tc>
        <w:tc>
          <w:tcPr>
            <w:tcW w:w="700" w:type="dxa"/>
            <w:vAlign w:val="bottom"/>
            <w:tcBorders>
              <w:bottom w:val="single" w:sz="8" w:color="auto"/>
            </w:tcBorders>
          </w:tcPr>
          <w:p>
            <w:pPr>
              <w:spacing w:after="0"/>
              <w:rPr>
                <w:sz w:val="22"/>
                <w:szCs w:val="22"/>
                <w:color w:val="auto"/>
              </w:rPr>
            </w:pPr>
          </w:p>
        </w:tc>
      </w:tr>
      <w:tr>
        <w:trPr>
          <w:trHeight w:val="233"/>
        </w:trPr>
        <w:tc>
          <w:tcPr>
            <w:tcW w:w="326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1</w:t>
            </w:r>
          </w:p>
        </w:tc>
        <w:tc>
          <w:tcPr>
            <w:tcW w:w="580" w:type="dxa"/>
            <w:vAlign w:val="bottom"/>
            <w:shd w:val="clear" w:color="auto" w:fill="CCEEFF"/>
          </w:tcPr>
          <w:p>
            <w:pPr>
              <w:ind w:left="60"/>
              <w:spacing w:after="0" w:line="233" w:lineRule="exact"/>
              <w:rPr>
                <w:sz w:val="20"/>
                <w:szCs w:val="20"/>
                <w:color w:val="auto"/>
              </w:rPr>
            </w:pPr>
            <w:r>
              <w:rPr>
                <w:rFonts w:ascii="Arial" w:cs="Arial" w:eastAsia="Arial" w:hAnsi="Arial"/>
                <w:sz w:val="21"/>
                <w:szCs w:val="21"/>
                <w:color w:val="auto"/>
              </w:rPr>
              <w:t>$</w:t>
            </w:r>
          </w:p>
        </w:tc>
        <w:tc>
          <w:tcPr>
            <w:tcW w:w="78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(91)</w:t>
            </w:r>
          </w:p>
        </w:tc>
        <w:tc>
          <w:tcPr>
            <w:tcW w:w="920" w:type="dxa"/>
            <w:vAlign w:val="bottom"/>
            <w:shd w:val="clear" w:color="auto" w:fill="CCEEFF"/>
          </w:tcPr>
          <w:p>
            <w:pPr>
              <w:ind w:left="80"/>
              <w:spacing w:after="0" w:line="233" w:lineRule="exact"/>
              <w:rPr>
                <w:sz w:val="20"/>
                <w:szCs w:val="20"/>
                <w:color w:val="auto"/>
              </w:rPr>
            </w:pPr>
            <w:r>
              <w:rPr>
                <w:rFonts w:ascii="Arial" w:cs="Arial" w:eastAsia="Arial" w:hAnsi="Arial"/>
                <w:sz w:val="21"/>
                <w:szCs w:val="21"/>
                <w:color w:val="auto"/>
              </w:rPr>
              <w:t>$</w:t>
            </w:r>
          </w:p>
        </w:tc>
        <w:tc>
          <w:tcPr>
            <w:tcW w:w="500" w:type="dxa"/>
            <w:vAlign w:val="bottom"/>
            <w:shd w:val="clear" w:color="auto" w:fill="CCEEFF"/>
          </w:tcPr>
          <w:p>
            <w:pPr>
              <w:jc w:val="right"/>
              <w:ind w:right="13"/>
              <w:spacing w:after="0" w:line="233" w:lineRule="exact"/>
              <w:rPr>
                <w:sz w:val="20"/>
                <w:szCs w:val="20"/>
                <w:color w:val="auto"/>
              </w:rPr>
            </w:pPr>
            <w:r>
              <w:rPr>
                <w:rFonts w:ascii="Arial" w:cs="Arial" w:eastAsia="Arial" w:hAnsi="Arial"/>
                <w:sz w:val="21"/>
                <w:szCs w:val="21"/>
                <w:color w:val="auto"/>
              </w:rPr>
              <w:t>41</w:t>
            </w:r>
          </w:p>
        </w:tc>
        <w:tc>
          <w:tcPr>
            <w:tcW w:w="820" w:type="dxa"/>
            <w:vAlign w:val="bottom"/>
            <w:shd w:val="clear" w:color="auto" w:fill="CCEEFF"/>
          </w:tcPr>
          <w:p>
            <w:pPr>
              <w:ind w:left="100"/>
              <w:spacing w:after="0" w:line="233" w:lineRule="exact"/>
              <w:rPr>
                <w:sz w:val="20"/>
                <w:szCs w:val="20"/>
                <w:color w:val="auto"/>
              </w:rPr>
            </w:pPr>
            <w:r>
              <w:rPr>
                <w:rFonts w:ascii="Arial" w:cs="Arial" w:eastAsia="Arial" w:hAnsi="Arial"/>
                <w:sz w:val="21"/>
                <w:szCs w:val="21"/>
                <w:color w:val="auto"/>
              </w:rPr>
              <w:t>$</w:t>
            </w:r>
          </w:p>
        </w:tc>
        <w:tc>
          <w:tcPr>
            <w:tcW w:w="52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50</w:t>
            </w:r>
          </w:p>
        </w:tc>
        <w:tc>
          <w:tcPr>
            <w:tcW w:w="800" w:type="dxa"/>
            <w:vAlign w:val="bottom"/>
            <w:shd w:val="clear" w:color="auto" w:fill="CCEEFF"/>
          </w:tcPr>
          <w:p>
            <w:pPr>
              <w:ind w:left="100"/>
              <w:spacing w:after="0" w:line="233" w:lineRule="exact"/>
              <w:rPr>
                <w:sz w:val="20"/>
                <w:szCs w:val="20"/>
                <w:color w:val="auto"/>
              </w:rPr>
            </w:pPr>
            <w:r>
              <w:rPr>
                <w:rFonts w:ascii="Arial" w:cs="Arial" w:eastAsia="Arial" w:hAnsi="Arial"/>
                <w:sz w:val="21"/>
                <w:szCs w:val="21"/>
                <w:color w:val="auto"/>
              </w:rPr>
              <w:t>$</w:t>
            </w:r>
          </w:p>
        </w:tc>
        <w:tc>
          <w:tcPr>
            <w:tcW w:w="58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(122)</w:t>
            </w:r>
          </w:p>
        </w:tc>
        <w:tc>
          <w:tcPr>
            <w:tcW w:w="860" w:type="dxa"/>
            <w:vAlign w:val="bottom"/>
            <w:shd w:val="clear" w:color="auto" w:fill="CCEEFF"/>
          </w:tcPr>
          <w:p>
            <w:pPr>
              <w:ind w:left="80"/>
              <w:spacing w:after="0" w:line="233"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ind w:right="13"/>
              <w:spacing w:after="0" w:line="233" w:lineRule="exact"/>
              <w:rPr>
                <w:sz w:val="20"/>
                <w:szCs w:val="20"/>
                <w:color w:val="auto"/>
              </w:rPr>
            </w:pPr>
            <w:r>
              <w:rPr>
                <w:rFonts w:ascii="Arial" w:cs="Arial" w:eastAsia="Arial" w:hAnsi="Arial"/>
                <w:sz w:val="21"/>
                <w:szCs w:val="21"/>
                <w:color w:val="auto"/>
                <w:w w:val="91"/>
              </w:rPr>
              <w:t>122</w:t>
            </w: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line="233" w:lineRule="exact"/>
              <w:rPr>
                <w:sz w:val="20"/>
                <w:szCs w:val="20"/>
                <w:color w:val="auto"/>
              </w:rPr>
            </w:pPr>
            <w:r>
              <w:rPr>
                <w:rFonts w:ascii="Arial" w:cs="Arial" w:eastAsia="Arial" w:hAnsi="Arial"/>
                <w:sz w:val="21"/>
                <w:szCs w:val="21"/>
                <w:color w:val="auto"/>
              </w:rPr>
              <w:t>—</w:t>
            </w:r>
          </w:p>
        </w:tc>
      </w:tr>
      <w:tr>
        <w:trPr>
          <w:trHeight w:val="240"/>
        </w:trPr>
        <w:tc>
          <w:tcPr>
            <w:tcW w:w="326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58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21"/>
                <w:szCs w:val="21"/>
                <w:color w:val="auto"/>
              </w:rPr>
              <w:t>(636)</w:t>
            </w:r>
          </w:p>
        </w:tc>
        <w:tc>
          <w:tcPr>
            <w:tcW w:w="92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500" w:type="dxa"/>
            <w:vAlign w:val="bottom"/>
          </w:tcPr>
          <w:p>
            <w:pPr>
              <w:jc w:val="right"/>
              <w:ind w:right="13"/>
              <w:spacing w:after="0" w:line="240" w:lineRule="exact"/>
              <w:rPr>
                <w:sz w:val="20"/>
                <w:szCs w:val="20"/>
                <w:color w:val="auto"/>
              </w:rPr>
            </w:pPr>
            <w:r>
              <w:rPr>
                <w:rFonts w:ascii="Arial" w:cs="Arial" w:eastAsia="Arial" w:hAnsi="Arial"/>
                <w:sz w:val="21"/>
                <w:szCs w:val="21"/>
                <w:color w:val="auto"/>
              </w:rPr>
              <w:t>286</w:t>
            </w:r>
          </w:p>
        </w:tc>
        <w:tc>
          <w:tcPr>
            <w:tcW w:w="82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520" w:type="dxa"/>
            <w:vAlign w:val="bottom"/>
          </w:tcPr>
          <w:p>
            <w:pPr>
              <w:jc w:val="right"/>
              <w:spacing w:after="0" w:line="240" w:lineRule="exact"/>
              <w:rPr>
                <w:sz w:val="20"/>
                <w:szCs w:val="20"/>
                <w:color w:val="auto"/>
              </w:rPr>
            </w:pPr>
            <w:r>
              <w:rPr>
                <w:rFonts w:ascii="Arial" w:cs="Arial" w:eastAsia="Arial" w:hAnsi="Arial"/>
                <w:sz w:val="21"/>
                <w:szCs w:val="21"/>
                <w:color w:val="auto"/>
              </w:rPr>
              <w:t>377</w:t>
            </w:r>
          </w:p>
        </w:tc>
        <w:tc>
          <w:tcPr>
            <w:tcW w:w="80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580" w:type="dxa"/>
            <w:vAlign w:val="bottom"/>
          </w:tcPr>
          <w:p>
            <w:pPr>
              <w:jc w:val="right"/>
              <w:spacing w:after="0" w:line="240" w:lineRule="exact"/>
              <w:rPr>
                <w:sz w:val="20"/>
                <w:szCs w:val="20"/>
                <w:color w:val="auto"/>
              </w:rPr>
            </w:pPr>
            <w:r>
              <w:rPr>
                <w:rFonts w:ascii="Arial" w:cs="Arial" w:eastAsia="Arial" w:hAnsi="Arial"/>
                <w:sz w:val="21"/>
                <w:szCs w:val="21"/>
                <w:color w:val="auto"/>
              </w:rPr>
              <w:t>(180)</w:t>
            </w:r>
          </w:p>
        </w:tc>
        <w:tc>
          <w:tcPr>
            <w:tcW w:w="86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13"/>
              <w:spacing w:after="0" w:line="240" w:lineRule="exact"/>
              <w:rPr>
                <w:sz w:val="20"/>
                <w:szCs w:val="20"/>
                <w:color w:val="auto"/>
              </w:rPr>
            </w:pPr>
            <w:r>
              <w:rPr>
                <w:rFonts w:ascii="Arial" w:cs="Arial" w:eastAsia="Arial" w:hAnsi="Arial"/>
                <w:sz w:val="21"/>
                <w:szCs w:val="21"/>
                <w:color w:val="auto"/>
                <w:w w:val="91"/>
              </w:rPr>
              <w:t>180</w:t>
            </w:r>
          </w:p>
        </w:tc>
        <w:tc>
          <w:tcPr>
            <w:tcW w:w="64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700" w:type="dxa"/>
            <w:vAlign w:val="bottom"/>
          </w:tcPr>
          <w:p>
            <w:pPr>
              <w:jc w:val="right"/>
              <w:spacing w:after="0" w:line="240" w:lineRule="exact"/>
              <w:rPr>
                <w:sz w:val="20"/>
                <w:szCs w:val="20"/>
                <w:color w:val="auto"/>
              </w:rPr>
            </w:pPr>
            <w:r>
              <w:rPr>
                <w:rFonts w:ascii="Arial" w:cs="Arial" w:eastAsia="Arial" w:hAnsi="Arial"/>
                <w:sz w:val="21"/>
                <w:szCs w:val="21"/>
                <w:color w:val="auto"/>
              </w:rPr>
              <w:t>(27)</w:t>
            </w:r>
          </w:p>
        </w:tc>
      </w:tr>
      <w:tr>
        <w:trPr>
          <w:trHeight w:val="240"/>
        </w:trPr>
        <w:tc>
          <w:tcPr>
            <w:tcW w:w="326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3</w:t>
            </w:r>
          </w:p>
        </w:tc>
        <w:tc>
          <w:tcPr>
            <w:tcW w:w="580" w:type="dxa"/>
            <w:vAlign w:val="bottom"/>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78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(91)</w:t>
            </w:r>
          </w:p>
        </w:tc>
        <w:tc>
          <w:tcPr>
            <w:tcW w:w="920" w:type="dxa"/>
            <w:vAlign w:val="bottom"/>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500" w:type="dxa"/>
            <w:vAlign w:val="bottom"/>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820" w:type="dxa"/>
            <w:vAlign w:val="bottom"/>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52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50</w:t>
            </w:r>
          </w:p>
        </w:tc>
        <w:tc>
          <w:tcPr>
            <w:tcW w:w="800" w:type="dxa"/>
            <w:vAlign w:val="bottom"/>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58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(42)</w:t>
            </w:r>
          </w:p>
        </w:tc>
        <w:tc>
          <w:tcPr>
            <w:tcW w:w="860" w:type="dxa"/>
            <w:vAlign w:val="bottom"/>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42</w:t>
            </w: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line="240" w:lineRule="exact"/>
              <w:rPr>
                <w:sz w:val="20"/>
                <w:szCs w:val="20"/>
                <w:color w:val="auto"/>
              </w:rPr>
            </w:pPr>
            <w:r>
              <w:rPr>
                <w:rFonts w:ascii="Arial" w:cs="Arial" w:eastAsia="Arial" w:hAnsi="Arial"/>
                <w:sz w:val="21"/>
                <w:szCs w:val="21"/>
                <w:color w:val="auto"/>
              </w:rPr>
              <w:t>—</w:t>
            </w:r>
          </w:p>
        </w:tc>
      </w:tr>
      <w:tr>
        <w:trPr>
          <w:trHeight w:val="240"/>
        </w:trPr>
        <w:tc>
          <w:tcPr>
            <w:tcW w:w="326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580" w:type="dxa"/>
            <w:vAlign w:val="bottom"/>
          </w:tcPr>
          <w:p>
            <w:pPr>
              <w:ind w:left="60"/>
              <w:spacing w:after="0" w:line="240" w:lineRule="exact"/>
              <w:rPr>
                <w:sz w:val="20"/>
                <w:szCs w:val="20"/>
                <w:color w:val="auto"/>
              </w:rPr>
            </w:pPr>
            <w:r>
              <w:rPr>
                <w:rFonts w:ascii="Arial" w:cs="Arial" w:eastAsia="Arial" w:hAnsi="Arial"/>
                <w:sz w:val="21"/>
                <w:szCs w:val="21"/>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21"/>
                <w:szCs w:val="21"/>
                <w:color w:val="auto"/>
              </w:rPr>
              <w:t>(91)</w:t>
            </w:r>
          </w:p>
        </w:tc>
        <w:tc>
          <w:tcPr>
            <w:tcW w:w="92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500" w:type="dxa"/>
            <w:vAlign w:val="bottom"/>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82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520" w:type="dxa"/>
            <w:vAlign w:val="bottom"/>
          </w:tcPr>
          <w:p>
            <w:pPr>
              <w:jc w:val="right"/>
              <w:spacing w:after="0" w:line="240" w:lineRule="exact"/>
              <w:rPr>
                <w:sz w:val="20"/>
                <w:szCs w:val="20"/>
                <w:color w:val="auto"/>
              </w:rPr>
            </w:pPr>
            <w:r>
              <w:rPr>
                <w:rFonts w:ascii="Arial" w:cs="Arial" w:eastAsia="Arial" w:hAnsi="Arial"/>
                <w:sz w:val="21"/>
                <w:szCs w:val="21"/>
                <w:color w:val="auto"/>
              </w:rPr>
              <w:t>50</w:t>
            </w:r>
          </w:p>
        </w:tc>
        <w:tc>
          <w:tcPr>
            <w:tcW w:w="800" w:type="dxa"/>
            <w:vAlign w:val="bottom"/>
          </w:tcPr>
          <w:p>
            <w:pPr>
              <w:ind w:left="100"/>
              <w:spacing w:after="0" w:line="240" w:lineRule="exact"/>
              <w:rPr>
                <w:sz w:val="20"/>
                <w:szCs w:val="20"/>
                <w:color w:val="auto"/>
              </w:rPr>
            </w:pPr>
            <w:r>
              <w:rPr>
                <w:rFonts w:ascii="Arial" w:cs="Arial" w:eastAsia="Arial" w:hAnsi="Arial"/>
                <w:sz w:val="21"/>
                <w:szCs w:val="21"/>
                <w:color w:val="auto"/>
              </w:rPr>
              <w:t>$</w:t>
            </w:r>
          </w:p>
        </w:tc>
        <w:tc>
          <w:tcPr>
            <w:tcW w:w="580" w:type="dxa"/>
            <w:vAlign w:val="bottom"/>
          </w:tcPr>
          <w:p>
            <w:pPr>
              <w:jc w:val="right"/>
              <w:spacing w:after="0" w:line="240" w:lineRule="exact"/>
              <w:rPr>
                <w:sz w:val="20"/>
                <w:szCs w:val="20"/>
                <w:color w:val="auto"/>
              </w:rPr>
            </w:pPr>
            <w:r>
              <w:rPr>
                <w:rFonts w:ascii="Arial" w:cs="Arial" w:eastAsia="Arial" w:hAnsi="Arial"/>
                <w:sz w:val="21"/>
                <w:szCs w:val="21"/>
                <w:color w:val="auto"/>
              </w:rPr>
              <w:t>(35)</w:t>
            </w:r>
          </w:p>
        </w:tc>
        <w:tc>
          <w:tcPr>
            <w:tcW w:w="860" w:type="dxa"/>
            <w:vAlign w:val="bottom"/>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13"/>
              <w:spacing w:after="0" w:line="240" w:lineRule="exact"/>
              <w:rPr>
                <w:sz w:val="20"/>
                <w:szCs w:val="20"/>
                <w:color w:val="auto"/>
              </w:rPr>
            </w:pPr>
            <w:r>
              <w:rPr>
                <w:rFonts w:ascii="Arial" w:cs="Arial" w:eastAsia="Arial" w:hAnsi="Arial"/>
                <w:sz w:val="21"/>
                <w:szCs w:val="21"/>
                <w:color w:val="auto"/>
              </w:rPr>
              <w:t>35</w:t>
            </w:r>
          </w:p>
        </w:tc>
        <w:tc>
          <w:tcPr>
            <w:tcW w:w="640" w:type="dxa"/>
            <w:vAlign w:val="bottom"/>
          </w:tcPr>
          <w:p>
            <w:pPr>
              <w:spacing w:after="0"/>
              <w:rPr>
                <w:sz w:val="20"/>
                <w:szCs w:val="20"/>
                <w:color w:val="auto"/>
              </w:rPr>
            </w:pPr>
          </w:p>
        </w:tc>
        <w:tc>
          <w:tcPr>
            <w:tcW w:w="700" w:type="dxa"/>
            <w:vAlign w:val="bottom"/>
          </w:tcPr>
          <w:p>
            <w:pPr>
              <w:jc w:val="right"/>
              <w:spacing w:after="0" w:line="240" w:lineRule="exact"/>
              <w:rPr>
                <w:sz w:val="20"/>
                <w:szCs w:val="20"/>
                <w:color w:val="auto"/>
              </w:rPr>
            </w:pPr>
            <w:r>
              <w:rPr>
                <w:rFonts w:ascii="Arial" w:cs="Arial" w:eastAsia="Arial" w:hAnsi="Arial"/>
                <w:sz w:val="21"/>
                <w:szCs w:val="21"/>
                <w:color w:val="auto"/>
              </w:rPr>
              <w:t>—</w:t>
            </w:r>
          </w:p>
        </w:tc>
      </w:tr>
      <w:tr>
        <w:trPr>
          <w:trHeight w:val="240"/>
        </w:trPr>
        <w:tc>
          <w:tcPr>
            <w:tcW w:w="326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5</w:t>
            </w:r>
          </w:p>
        </w:tc>
        <w:tc>
          <w:tcPr>
            <w:tcW w:w="580" w:type="dxa"/>
            <w:vAlign w:val="bottom"/>
            <w:tcBorders>
              <w:bottom w:val="single" w:sz="8" w:color="auto"/>
            </w:tcBorders>
            <w:shd w:val="clear" w:color="auto" w:fill="CCEEFF"/>
          </w:tcPr>
          <w:p>
            <w:pPr>
              <w:ind w:left="60"/>
              <w:spacing w:after="0" w:line="240" w:lineRule="exact"/>
              <w:rPr>
                <w:sz w:val="20"/>
                <w:szCs w:val="20"/>
                <w:color w:val="auto"/>
              </w:rPr>
            </w:pPr>
            <w:r>
              <w:rPr>
                <w:rFonts w:ascii="Arial" w:cs="Arial" w:eastAsia="Arial" w:hAnsi="Arial"/>
                <w:sz w:val="21"/>
                <w:szCs w:val="21"/>
                <w:color w:val="auto"/>
              </w:rPr>
              <w:t>$</w:t>
            </w:r>
          </w:p>
        </w:tc>
        <w:tc>
          <w:tcPr>
            <w:tcW w:w="78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(91)</w:t>
            </w:r>
          </w:p>
        </w:tc>
        <w:tc>
          <w:tcPr>
            <w:tcW w:w="920" w:type="dxa"/>
            <w:vAlign w:val="bottom"/>
            <w:tcBorders>
              <w:bottom w:val="single" w:sz="8" w:color="auto"/>
            </w:tcBorders>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500" w:type="dxa"/>
            <w:vAlign w:val="bottom"/>
            <w:tcBorders>
              <w:bottom w:val="single" w:sz="8" w:color="auto"/>
            </w:tcBorders>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41</w:t>
            </w:r>
          </w:p>
        </w:tc>
        <w:tc>
          <w:tcPr>
            <w:tcW w:w="820" w:type="dxa"/>
            <w:vAlign w:val="bottom"/>
            <w:tcBorders>
              <w:bottom w:val="single" w:sz="8" w:color="auto"/>
            </w:tcBorders>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52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50</w:t>
            </w:r>
          </w:p>
        </w:tc>
        <w:tc>
          <w:tcPr>
            <w:tcW w:w="800" w:type="dxa"/>
            <w:vAlign w:val="bottom"/>
            <w:tcBorders>
              <w:bottom w:val="single" w:sz="8" w:color="auto"/>
            </w:tcBorders>
            <w:shd w:val="clear" w:color="auto" w:fill="CCEEFF"/>
          </w:tcPr>
          <w:p>
            <w:pPr>
              <w:ind w:left="100"/>
              <w:spacing w:after="0" w:line="240" w:lineRule="exact"/>
              <w:rPr>
                <w:sz w:val="20"/>
                <w:szCs w:val="20"/>
                <w:color w:val="auto"/>
              </w:rPr>
            </w:pPr>
            <w:r>
              <w:rPr>
                <w:rFonts w:ascii="Arial" w:cs="Arial" w:eastAsia="Arial" w:hAnsi="Arial"/>
                <w:sz w:val="21"/>
                <w:szCs w:val="21"/>
                <w:color w:val="auto"/>
              </w:rPr>
              <w:t>$</w:t>
            </w:r>
          </w:p>
        </w:tc>
        <w:tc>
          <w:tcPr>
            <w:tcW w:w="58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(22)</w:t>
            </w:r>
          </w:p>
        </w:tc>
        <w:tc>
          <w:tcPr>
            <w:tcW w:w="860" w:type="dxa"/>
            <w:vAlign w:val="bottom"/>
            <w:tcBorders>
              <w:bottom w:val="single" w:sz="8" w:color="auto"/>
            </w:tcBorders>
            <w:shd w:val="clear" w:color="auto" w:fill="CCEEFF"/>
          </w:tcPr>
          <w:p>
            <w:pPr>
              <w:ind w:left="80"/>
              <w:spacing w:after="0" w:line="240" w:lineRule="exact"/>
              <w:rPr>
                <w:sz w:val="20"/>
                <w:szCs w:val="20"/>
                <w:color w:val="auto"/>
              </w:rPr>
            </w:pPr>
            <w:r>
              <w:rPr>
                <w:rFonts w:ascii="Arial" w:cs="Arial" w:eastAsia="Arial" w:hAnsi="Arial"/>
                <w:sz w:val="21"/>
                <w:szCs w:val="21"/>
                <w:color w:val="auto"/>
              </w:rPr>
              <w:t>$</w:t>
            </w:r>
          </w:p>
        </w:tc>
        <w:tc>
          <w:tcPr>
            <w:tcW w:w="460" w:type="dxa"/>
            <w:vAlign w:val="bottom"/>
            <w:tcBorders>
              <w:bottom w:val="single" w:sz="8" w:color="auto"/>
            </w:tcBorders>
            <w:shd w:val="clear" w:color="auto" w:fill="CCEEFF"/>
          </w:tcPr>
          <w:p>
            <w:pPr>
              <w:jc w:val="right"/>
              <w:ind w:right="13"/>
              <w:spacing w:after="0" w:line="240" w:lineRule="exact"/>
              <w:rPr>
                <w:sz w:val="20"/>
                <w:szCs w:val="20"/>
                <w:color w:val="auto"/>
              </w:rPr>
            </w:pPr>
            <w:r>
              <w:rPr>
                <w:rFonts w:ascii="Arial" w:cs="Arial" w:eastAsia="Arial" w:hAnsi="Arial"/>
                <w:sz w:val="21"/>
                <w:szCs w:val="21"/>
                <w:color w:val="auto"/>
              </w:rPr>
              <w:t>22</w:t>
            </w:r>
          </w:p>
        </w:tc>
        <w:tc>
          <w:tcPr>
            <w:tcW w:w="6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line="240" w:lineRule="exact"/>
              <w:rPr>
                <w:sz w:val="20"/>
                <w:szCs w:val="20"/>
                <w:color w:val="auto"/>
              </w:rPr>
            </w:pPr>
            <w:r>
              <w:rPr>
                <w:rFonts w:ascii="Arial" w:cs="Arial" w:eastAsia="Arial" w:hAnsi="Arial"/>
                <w:sz w:val="21"/>
                <w:szCs w:val="21"/>
                <w:color w:val="auto"/>
              </w:rPr>
              <w:t>—</w:t>
            </w:r>
          </w:p>
        </w:tc>
      </w:tr>
      <w:tr>
        <w:trPr>
          <w:trHeight w:val="271"/>
        </w:trPr>
        <w:tc>
          <w:tcPr>
            <w:tcW w:w="3260" w:type="dxa"/>
            <w:vAlign w:val="bottom"/>
          </w:tcPr>
          <w:p>
            <w:pPr>
              <w:jc w:val="right"/>
              <w:spacing w:after="0"/>
              <w:rPr>
                <w:sz w:val="20"/>
                <w:szCs w:val="20"/>
                <w:color w:val="auto"/>
              </w:rPr>
            </w:pPr>
            <w:r>
              <w:rPr>
                <w:rFonts w:ascii="Arial" w:cs="Arial" w:eastAsia="Arial" w:hAnsi="Arial"/>
                <w:sz w:val="21"/>
                <w:szCs w:val="21"/>
                <w:b w:val="1"/>
                <w:bCs w:val="1"/>
                <w:color w:val="auto"/>
              </w:rPr>
              <w:t>Total</w:t>
            </w:r>
          </w:p>
        </w:tc>
        <w:tc>
          <w:tcPr>
            <w:tcW w:w="580" w:type="dxa"/>
            <w:vAlign w:val="bottom"/>
          </w:tcPr>
          <w:p>
            <w:pPr>
              <w:ind w:left="60"/>
              <w:spacing w:after="0"/>
              <w:rPr>
                <w:sz w:val="20"/>
                <w:szCs w:val="20"/>
                <w:color w:val="auto"/>
              </w:rPr>
            </w:pPr>
            <w:r>
              <w:rPr>
                <w:rFonts w:ascii="Arial" w:cs="Arial" w:eastAsia="Arial" w:hAnsi="Arial"/>
                <w:sz w:val="21"/>
                <w:szCs w:val="21"/>
                <w:b w:val="1"/>
                <w:bCs w:val="1"/>
                <w:color w:val="auto"/>
              </w:rPr>
              <w:t>$</w:t>
            </w:r>
          </w:p>
        </w:tc>
        <w:tc>
          <w:tcPr>
            <w:tcW w:w="780" w:type="dxa"/>
            <w:vAlign w:val="bottom"/>
          </w:tcPr>
          <w:p>
            <w:pPr>
              <w:jc w:val="right"/>
              <w:spacing w:after="0"/>
              <w:rPr>
                <w:sz w:val="20"/>
                <w:szCs w:val="20"/>
                <w:color w:val="auto"/>
              </w:rPr>
            </w:pPr>
            <w:r>
              <w:rPr>
                <w:rFonts w:ascii="Arial" w:cs="Arial" w:eastAsia="Arial" w:hAnsi="Arial"/>
                <w:sz w:val="21"/>
                <w:szCs w:val="21"/>
                <w:b w:val="1"/>
                <w:bCs w:val="1"/>
                <w:color w:val="auto"/>
              </w:rPr>
              <w:t>(1,000)</w:t>
            </w:r>
          </w:p>
        </w:tc>
        <w:tc>
          <w:tcPr>
            <w:tcW w:w="920" w:type="dxa"/>
            <w:vAlign w:val="bottom"/>
          </w:tcPr>
          <w:p>
            <w:pPr>
              <w:ind w:left="80"/>
              <w:spacing w:after="0"/>
              <w:rPr>
                <w:sz w:val="20"/>
                <w:szCs w:val="20"/>
                <w:color w:val="auto"/>
              </w:rPr>
            </w:pPr>
            <w:r>
              <w:rPr>
                <w:rFonts w:ascii="Arial" w:cs="Arial" w:eastAsia="Arial" w:hAnsi="Arial"/>
                <w:sz w:val="21"/>
                <w:szCs w:val="21"/>
                <w:b w:val="1"/>
                <w:bCs w:val="1"/>
                <w:color w:val="auto"/>
              </w:rPr>
              <w:t>$</w:t>
            </w:r>
          </w:p>
        </w:tc>
        <w:tc>
          <w:tcPr>
            <w:tcW w:w="500" w:type="dxa"/>
            <w:vAlign w:val="bottom"/>
          </w:tcPr>
          <w:p>
            <w:pPr>
              <w:jc w:val="right"/>
              <w:ind w:right="13"/>
              <w:spacing w:after="0"/>
              <w:rPr>
                <w:sz w:val="20"/>
                <w:szCs w:val="20"/>
                <w:color w:val="auto"/>
              </w:rPr>
            </w:pPr>
            <w:r>
              <w:rPr>
                <w:rFonts w:ascii="Arial" w:cs="Arial" w:eastAsia="Arial" w:hAnsi="Arial"/>
                <w:sz w:val="21"/>
                <w:szCs w:val="21"/>
                <w:b w:val="1"/>
                <w:bCs w:val="1"/>
                <w:color w:val="auto"/>
              </w:rPr>
              <w:t>450</w:t>
            </w:r>
          </w:p>
        </w:tc>
        <w:tc>
          <w:tcPr>
            <w:tcW w:w="820" w:type="dxa"/>
            <w:vAlign w:val="bottom"/>
          </w:tcPr>
          <w:p>
            <w:pPr>
              <w:ind w:left="100"/>
              <w:spacing w:after="0"/>
              <w:rPr>
                <w:sz w:val="20"/>
                <w:szCs w:val="20"/>
                <w:color w:val="auto"/>
              </w:rPr>
            </w:pPr>
            <w:r>
              <w:rPr>
                <w:rFonts w:ascii="Arial" w:cs="Arial" w:eastAsia="Arial" w:hAnsi="Arial"/>
                <w:sz w:val="21"/>
                <w:szCs w:val="21"/>
                <w:b w:val="1"/>
                <w:bCs w:val="1"/>
                <w:color w:val="auto"/>
              </w:rPr>
              <w:t>$</w:t>
            </w:r>
          </w:p>
        </w:tc>
        <w:tc>
          <w:tcPr>
            <w:tcW w:w="520" w:type="dxa"/>
            <w:vAlign w:val="bottom"/>
          </w:tcPr>
          <w:p>
            <w:pPr>
              <w:jc w:val="right"/>
              <w:spacing w:after="0"/>
              <w:rPr>
                <w:sz w:val="20"/>
                <w:szCs w:val="20"/>
                <w:color w:val="auto"/>
              </w:rPr>
            </w:pPr>
            <w:r>
              <w:rPr>
                <w:rFonts w:ascii="Arial" w:cs="Arial" w:eastAsia="Arial" w:hAnsi="Arial"/>
                <w:sz w:val="21"/>
                <w:szCs w:val="21"/>
                <w:b w:val="1"/>
                <w:bCs w:val="1"/>
                <w:color w:val="auto"/>
              </w:rPr>
              <w:t>577</w:t>
            </w:r>
          </w:p>
        </w:tc>
        <w:tc>
          <w:tcPr>
            <w:tcW w:w="800" w:type="dxa"/>
            <w:vAlign w:val="bottom"/>
          </w:tcPr>
          <w:p>
            <w:pPr>
              <w:ind w:left="100"/>
              <w:spacing w:after="0"/>
              <w:rPr>
                <w:sz w:val="20"/>
                <w:szCs w:val="20"/>
                <w:color w:val="auto"/>
              </w:rPr>
            </w:pPr>
            <w:r>
              <w:rPr>
                <w:rFonts w:ascii="Arial" w:cs="Arial" w:eastAsia="Arial" w:hAnsi="Arial"/>
                <w:sz w:val="21"/>
                <w:szCs w:val="21"/>
                <w:b w:val="1"/>
                <w:bCs w:val="1"/>
                <w:color w:val="auto"/>
              </w:rPr>
              <w:t>$</w:t>
            </w:r>
          </w:p>
        </w:tc>
        <w:tc>
          <w:tcPr>
            <w:tcW w:w="580" w:type="dxa"/>
            <w:vAlign w:val="bottom"/>
          </w:tcPr>
          <w:p>
            <w:pPr>
              <w:jc w:val="right"/>
              <w:spacing w:after="0"/>
              <w:rPr>
                <w:sz w:val="20"/>
                <w:szCs w:val="20"/>
                <w:color w:val="auto"/>
              </w:rPr>
            </w:pPr>
            <w:r>
              <w:rPr>
                <w:rFonts w:ascii="Arial" w:cs="Arial" w:eastAsia="Arial" w:hAnsi="Arial"/>
                <w:sz w:val="21"/>
                <w:szCs w:val="21"/>
                <w:b w:val="1"/>
                <w:bCs w:val="1"/>
                <w:color w:val="auto"/>
              </w:rPr>
              <w:t>(400)</w:t>
            </w:r>
          </w:p>
        </w:tc>
        <w:tc>
          <w:tcPr>
            <w:tcW w:w="860" w:type="dxa"/>
            <w:vAlign w:val="bottom"/>
          </w:tcPr>
          <w:p>
            <w:pPr>
              <w:ind w:left="80"/>
              <w:spacing w:after="0"/>
              <w:rPr>
                <w:sz w:val="20"/>
                <w:szCs w:val="20"/>
                <w:color w:val="auto"/>
              </w:rPr>
            </w:pPr>
            <w:r>
              <w:rPr>
                <w:rFonts w:ascii="Arial" w:cs="Arial" w:eastAsia="Arial" w:hAnsi="Arial"/>
                <w:sz w:val="21"/>
                <w:szCs w:val="21"/>
                <w:b w:val="1"/>
                <w:bCs w:val="1"/>
                <w:color w:val="auto"/>
              </w:rPr>
              <w:t>$</w:t>
            </w:r>
          </w:p>
        </w:tc>
        <w:tc>
          <w:tcPr>
            <w:tcW w:w="460" w:type="dxa"/>
            <w:vAlign w:val="bottom"/>
          </w:tcPr>
          <w:p>
            <w:pPr>
              <w:jc w:val="right"/>
              <w:ind w:right="13"/>
              <w:spacing w:after="0"/>
              <w:rPr>
                <w:sz w:val="20"/>
                <w:szCs w:val="20"/>
                <w:color w:val="auto"/>
              </w:rPr>
            </w:pPr>
            <w:r>
              <w:rPr>
                <w:rFonts w:ascii="Arial" w:cs="Arial" w:eastAsia="Arial" w:hAnsi="Arial"/>
                <w:sz w:val="21"/>
                <w:szCs w:val="21"/>
                <w:b w:val="1"/>
                <w:bCs w:val="1"/>
                <w:color w:val="auto"/>
                <w:w w:val="91"/>
              </w:rPr>
              <w:t>400</w:t>
            </w:r>
          </w:p>
        </w:tc>
        <w:tc>
          <w:tcPr>
            <w:tcW w:w="640" w:type="dxa"/>
            <w:vAlign w:val="bottom"/>
          </w:tcPr>
          <w:p>
            <w:pPr>
              <w:ind w:left="100"/>
              <w:spacing w:after="0"/>
              <w:rPr>
                <w:sz w:val="20"/>
                <w:szCs w:val="20"/>
                <w:color w:val="auto"/>
              </w:rPr>
            </w:pPr>
            <w:r>
              <w:rPr>
                <w:rFonts w:ascii="Arial" w:cs="Arial" w:eastAsia="Arial" w:hAnsi="Arial"/>
                <w:sz w:val="21"/>
                <w:szCs w:val="21"/>
                <w:b w:val="1"/>
                <w:bCs w:val="1"/>
                <w:color w:val="auto"/>
              </w:rPr>
              <w:t>$</w:t>
            </w:r>
          </w:p>
        </w:tc>
        <w:tc>
          <w:tcPr>
            <w:tcW w:w="700" w:type="dxa"/>
            <w:vAlign w:val="bottom"/>
          </w:tcPr>
          <w:p>
            <w:pPr>
              <w:jc w:val="right"/>
              <w:spacing w:after="0"/>
              <w:rPr>
                <w:sz w:val="20"/>
                <w:szCs w:val="20"/>
                <w:color w:val="auto"/>
              </w:rPr>
            </w:pPr>
            <w:r>
              <w:rPr>
                <w:rFonts w:ascii="Arial" w:cs="Arial" w:eastAsia="Arial" w:hAnsi="Arial"/>
                <w:sz w:val="21"/>
                <w:szCs w:val="21"/>
                <w:b w:val="1"/>
                <w:bCs w:val="1"/>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44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 Components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Removal of loans from a pool with a carrying value of zero:</w:t>
      </w:r>
    </w:p>
    <w:p>
      <w:pPr>
        <w:spacing w:after="0" w:line="239" w:lineRule="exact"/>
        <w:rPr>
          <w:sz w:val="20"/>
          <w:szCs w:val="20"/>
          <w:color w:val="auto"/>
        </w:rPr>
      </w:pPr>
    </w:p>
    <w:p>
      <w:pPr>
        <w:ind w:right="40" w:firstLine="1280"/>
        <w:spacing w:after="0" w:line="248" w:lineRule="auto"/>
        <w:rPr>
          <w:sz w:val="20"/>
          <w:szCs w:val="20"/>
          <w:color w:val="auto"/>
        </w:rPr>
      </w:pPr>
      <w:r>
        <w:rPr>
          <w:rFonts w:ascii="Arial" w:cs="Arial" w:eastAsia="Arial" w:hAnsi="Arial"/>
          <w:sz w:val="21"/>
          <w:szCs w:val="21"/>
          <w:color w:val="auto"/>
        </w:rPr>
        <w:t>Once the carrying value of a pool has been reduced to zero, an internal rate of return cannot be mathematically calculated, nor can a yield be applied to a pool with zero carrying value as any yield multiplied by zero equals zero. As a result, once a pool is reduced to zero, the interest method of income recognition is no longer applied and the cash basis method of income recognition is applied.</w:t>
      </w:r>
    </w:p>
    <w:p>
      <w:pPr>
        <w:spacing w:after="0" w:line="202" w:lineRule="exact"/>
        <w:rPr>
          <w:sz w:val="20"/>
          <w:szCs w:val="20"/>
          <w:color w:val="auto"/>
        </w:rPr>
      </w:pPr>
    </w:p>
    <w:p>
      <w:pPr>
        <w:ind w:left="640" w:right="360" w:hanging="313"/>
        <w:spacing w:after="0" w:line="253" w:lineRule="auto"/>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i w:val="1"/>
          <w:iCs w:val="1"/>
          <w:color w:val="auto"/>
        </w:rPr>
        <w:t>Noting that the Loss Sharing Agreements with the FDIC provide reimbursement for loans sold under them and that the amounts of those covered sales are set forth in them, please tell us what consideration you gave to classifying the loans as held for sale upon acquisition given the scope requirements of ASC 310-30-15-2b.</w:t>
      </w:r>
    </w:p>
    <w:p>
      <w:pPr>
        <w:spacing w:after="0" w:line="196"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u w:val="single" w:color="auto"/>
          <w:color w:val="auto"/>
        </w:rPr>
        <w:t>Response:</w:t>
      </w:r>
    </w:p>
    <w:p>
      <w:pPr>
        <w:spacing w:after="0" w:line="239" w:lineRule="exact"/>
        <w:rPr>
          <w:sz w:val="20"/>
          <w:szCs w:val="20"/>
          <w:color w:val="auto"/>
        </w:rPr>
      </w:pPr>
    </w:p>
    <w:p>
      <w:pPr>
        <w:jc w:val="both"/>
        <w:ind w:right="80" w:firstLine="1280"/>
        <w:spacing w:after="0" w:line="248" w:lineRule="auto"/>
        <w:rPr>
          <w:sz w:val="20"/>
          <w:szCs w:val="20"/>
          <w:color w:val="auto"/>
        </w:rPr>
      </w:pPr>
      <w:r>
        <w:rPr>
          <w:rFonts w:ascii="Arial" w:cs="Arial" w:eastAsia="Arial" w:hAnsi="Arial"/>
          <w:sz w:val="21"/>
          <w:szCs w:val="21"/>
          <w:color w:val="auto"/>
        </w:rPr>
        <w:t>As an initial point of clarification, the Loss Sharing Agreements do not set forth, or prescribe, the amount of covered loans to be sold. Rather, the Loss Sharing Agreements establish the maximum amount of loans that may potentially be sold annually, 2.5% of the covered loans based on the UPB at acquisition, without the express consent of the FDIC. Any losses incurred from such loan sales are covered under the Loss Sharing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546100</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7</w:t>
      </w:r>
    </w:p>
    <w:p>
      <w:pPr>
        <w:spacing w:after="0" w:line="200" w:lineRule="exact"/>
        <w:rPr>
          <w:sz w:val="20"/>
          <w:szCs w:val="20"/>
          <w:color w:val="auto"/>
        </w:rPr>
      </w:pPr>
    </w:p>
    <w:p>
      <w:pPr>
        <w:spacing w:after="0" w:line="261" w:lineRule="exact"/>
        <w:rPr>
          <w:sz w:val="20"/>
          <w:szCs w:val="20"/>
          <w:color w:val="auto"/>
        </w:rPr>
      </w:pPr>
    </w:p>
    <w:p>
      <w:pPr>
        <w:ind w:firstLine="1280"/>
        <w:spacing w:after="0" w:line="268" w:lineRule="auto"/>
        <w:rPr>
          <w:sz w:val="20"/>
          <w:szCs w:val="20"/>
          <w:color w:val="auto"/>
        </w:rPr>
      </w:pPr>
      <w:r>
        <w:rPr>
          <w:rFonts w:ascii="Arial" w:cs="Arial" w:eastAsia="Arial" w:hAnsi="Arial"/>
          <w:sz w:val="21"/>
          <w:szCs w:val="21"/>
          <w:color w:val="auto"/>
        </w:rPr>
        <w:t>The determination of appropriate classification of the covered loans as held for investment and the applicability of the scope requirements of ASC 310-30-15-2b were made at the time of acquisition.</w:t>
      </w:r>
    </w:p>
    <w:p>
      <w:pPr>
        <w:spacing w:after="0" w:line="181" w:lineRule="exact"/>
        <w:rPr>
          <w:sz w:val="20"/>
          <w:szCs w:val="20"/>
          <w:color w:val="auto"/>
        </w:rPr>
      </w:pPr>
    </w:p>
    <w:p>
      <w:pPr>
        <w:ind w:firstLine="1280"/>
        <w:spacing w:after="0" w:line="243" w:lineRule="auto"/>
        <w:rPr>
          <w:sz w:val="20"/>
          <w:szCs w:val="20"/>
          <w:color w:val="auto"/>
        </w:rPr>
      </w:pPr>
      <w:r>
        <w:rPr>
          <w:rFonts w:ascii="Arial" w:cs="Arial" w:eastAsia="Arial" w:hAnsi="Arial"/>
          <w:sz w:val="21"/>
          <w:szCs w:val="21"/>
          <w:color w:val="auto"/>
        </w:rPr>
        <w:t>The Company classifies a loan as held for investment when it has both the ability and the intent to hold the loan for the foreseeable future or until maturity or payoff, which was the Company’s intent with respect to the covered loans at acquisition. In determining the “foreseeable future,” acknowledging remarks made in a speech by the SEC Staff on December 10, 2007 relating to the “Classification of Loan Receivables,” (“the 2007 SEC Staff speech”), the Company considers (1) the Company’s business strategy and current business plans, (2) the nature and type of the loan receivable, including its expected life, (3) the Company’s current financial condition and liquidity demands, (4) the current economic environment and market conditions, and (5) the Company’s past practices.</w:t>
      </w:r>
    </w:p>
    <w:p>
      <w:pPr>
        <w:spacing w:after="0" w:line="209" w:lineRule="exact"/>
        <w:rPr>
          <w:sz w:val="20"/>
          <w:szCs w:val="20"/>
          <w:color w:val="auto"/>
        </w:rPr>
      </w:pPr>
    </w:p>
    <w:p>
      <w:pPr>
        <w:ind w:right="200" w:firstLine="1280"/>
        <w:spacing w:after="0" w:line="253" w:lineRule="auto"/>
        <w:rPr>
          <w:sz w:val="20"/>
          <w:szCs w:val="20"/>
          <w:color w:val="auto"/>
        </w:rPr>
      </w:pPr>
      <w:r>
        <w:rPr>
          <w:rFonts w:ascii="Arial" w:cs="Arial" w:eastAsia="Arial" w:hAnsi="Arial"/>
          <w:sz w:val="21"/>
          <w:szCs w:val="21"/>
          <w:color w:val="auto"/>
        </w:rPr>
        <w:t>The Company does not believe there are bright line periods that define the “foreseeable future.” With respect to the covered loans, the Company considered all facts and circumstances, including the following, in determining what constituted the “foreseeable future.”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(1) The Company’s business strategy and current business plans</w:t>
      </w:r>
    </w:p>
    <w:p>
      <w:pPr>
        <w:spacing w:after="0" w:line="239" w:lineRule="exact"/>
        <w:rPr>
          <w:sz w:val="20"/>
          <w:szCs w:val="20"/>
          <w:color w:val="auto"/>
        </w:rPr>
      </w:pPr>
    </w:p>
    <w:p>
      <w:pPr>
        <w:ind w:right="120" w:firstLine="1280"/>
        <w:spacing w:after="0" w:line="253" w:lineRule="auto"/>
        <w:rPr>
          <w:sz w:val="20"/>
          <w:szCs w:val="20"/>
          <w:color w:val="auto"/>
        </w:rPr>
      </w:pPr>
      <w:r>
        <w:rPr>
          <w:rFonts w:ascii="Arial" w:cs="Arial" w:eastAsia="Arial" w:hAnsi="Arial"/>
          <w:sz w:val="21"/>
          <w:szCs w:val="21"/>
          <w:color w:val="auto"/>
        </w:rPr>
        <w:t>Management’s business strategy and plans at the date of acquisition were primarily focused on growing the portfolio of loans held for investment through both the origination of new loans and the purchase of loans to be held for investment, while effectively managing and servicing the covered loan portfolio.</w:t>
      </w:r>
    </w:p>
    <w:p>
      <w:pPr>
        <w:spacing w:after="0" w:line="196" w:lineRule="exact"/>
        <w:rPr>
          <w:sz w:val="20"/>
          <w:szCs w:val="20"/>
          <w:color w:val="auto"/>
        </w:rPr>
      </w:pPr>
    </w:p>
    <w:p>
      <w:pPr>
        <w:ind w:right="140" w:firstLine="1280"/>
        <w:spacing w:after="0" w:line="293" w:lineRule="auto"/>
        <w:rPr>
          <w:sz w:val="20"/>
          <w:szCs w:val="20"/>
          <w:color w:val="auto"/>
        </w:rPr>
      </w:pPr>
      <w:r>
        <w:rPr>
          <w:rFonts w:ascii="Arial" w:cs="Arial" w:eastAsia="Arial" w:hAnsi="Arial"/>
          <w:sz w:val="19"/>
          <w:szCs w:val="19"/>
          <w:color w:val="auto"/>
        </w:rPr>
        <w:t>The loan servicing function was significantly enhanced by the Company post acquisition, including investment in human and IT capital, because it was anticipated at acquisition that the majority of covered loans would be resolved through means other than sale consistent with the intent of managing the covered loans to a least loss resolution, as required by the FDIC.</w:t>
      </w:r>
    </w:p>
    <w:p>
      <w:pPr>
        <w:spacing w:after="0" w:line="160" w:lineRule="exact"/>
        <w:rPr>
          <w:sz w:val="20"/>
          <w:szCs w:val="20"/>
          <w:color w:val="auto"/>
        </w:rPr>
      </w:pPr>
    </w:p>
    <w:p>
      <w:pPr>
        <w:ind w:right="40" w:firstLine="1280"/>
        <w:spacing w:after="0" w:line="244" w:lineRule="auto"/>
        <w:rPr>
          <w:sz w:val="20"/>
          <w:szCs w:val="20"/>
          <w:color w:val="auto"/>
        </w:rPr>
      </w:pPr>
      <w:r>
        <w:rPr>
          <w:rFonts w:ascii="Arial" w:cs="Arial" w:eastAsia="Arial" w:hAnsi="Arial"/>
          <w:sz w:val="21"/>
          <w:szCs w:val="21"/>
          <w:color w:val="auto"/>
        </w:rPr>
        <w:t>The substantial majority of covered loans (97.5% of acquired UPB at day 1) cannot be offered for sale under the Loss Sharing Agreements during any 12-month period, including the 12-month period following the acquisition. While the Company is not prohibited from selling an amount in excess of the annual allowable amount, any losses incurred by the Company in such a transaction, if undertaken without prior consent from the FDIC, would not be indemnified by the FDIC, creating a substantial disincentive for the Company to undertake such sales. Business strategy at acquisition contemplated that not more than 2.5% of the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745" w:right="29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8</w:t>
      </w:r>
    </w:p>
    <w:p>
      <w:pPr>
        <w:spacing w:after="0" w:line="200" w:lineRule="exact"/>
        <w:rPr>
          <w:sz w:val="20"/>
          <w:szCs w:val="20"/>
          <w:color w:val="auto"/>
        </w:rPr>
      </w:pPr>
    </w:p>
    <w:p>
      <w:pPr>
        <w:spacing w:after="0" w:line="261" w:lineRule="exact"/>
        <w:rPr>
          <w:sz w:val="20"/>
          <w:szCs w:val="20"/>
          <w:color w:val="auto"/>
        </w:rPr>
      </w:pPr>
    </w:p>
    <w:p>
      <w:pPr>
        <w:ind w:right="100"/>
        <w:spacing w:after="0" w:line="253" w:lineRule="auto"/>
        <w:rPr>
          <w:sz w:val="20"/>
          <w:szCs w:val="20"/>
          <w:color w:val="auto"/>
        </w:rPr>
      </w:pPr>
      <w:r>
        <w:rPr>
          <w:rFonts w:ascii="Arial" w:cs="Arial" w:eastAsia="Arial" w:hAnsi="Arial"/>
          <w:sz w:val="21"/>
          <w:szCs w:val="21"/>
          <w:color w:val="auto"/>
        </w:rPr>
        <w:t>loans could be offered for sale during any 12 month period. At acquisition, management had not identified any specific loans or groups of loans which would be held or offered for sale. Management had not entered into any formal or informal commitments for sale of loans, and had no definitive time-table for execution of a sale.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(2) The nature and type of the loan receivable, including its expected life</w:t>
      </w:r>
    </w:p>
    <w:p>
      <w:pPr>
        <w:spacing w:after="0" w:line="239" w:lineRule="exact"/>
        <w:rPr>
          <w:sz w:val="20"/>
          <w:szCs w:val="20"/>
          <w:color w:val="auto"/>
        </w:rPr>
      </w:pPr>
    </w:p>
    <w:p>
      <w:pPr>
        <w:ind w:firstLine="1280"/>
        <w:spacing w:after="0" w:line="246" w:lineRule="auto"/>
        <w:rPr>
          <w:sz w:val="20"/>
          <w:szCs w:val="20"/>
          <w:color w:val="auto"/>
        </w:rPr>
      </w:pPr>
      <w:r>
        <w:rPr>
          <w:rFonts w:ascii="Arial" w:cs="Arial" w:eastAsia="Arial" w:hAnsi="Arial"/>
          <w:sz w:val="21"/>
          <w:szCs w:val="21"/>
          <w:color w:val="auto"/>
        </w:rPr>
        <w:t>The covered portfolio primarily consisted of residential and commercial loans with evidence of credit deterioration since origination. Expected lives and other loan characteristics varied. The portfolio was acquired at a significant discount reflecting loss expectations at that time. Protection afforded by the loss share arrangements significantly mitigated the risk that continued adverse market conditions or further credit deterioration could negatively influence the Company’s ability to hold assets or compel a decision to dispose.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(3) The Company’s current financial condition and liquidity demands</w:t>
      </w:r>
    </w:p>
    <w:p>
      <w:pPr>
        <w:spacing w:after="0" w:line="239" w:lineRule="exact"/>
        <w:rPr>
          <w:sz w:val="20"/>
          <w:szCs w:val="20"/>
          <w:color w:val="auto"/>
        </w:rPr>
      </w:pPr>
    </w:p>
    <w:p>
      <w:pPr>
        <w:ind w:right="220" w:firstLine="1280"/>
        <w:spacing w:after="0" w:line="248" w:lineRule="auto"/>
        <w:rPr>
          <w:sz w:val="20"/>
          <w:szCs w:val="20"/>
          <w:color w:val="auto"/>
        </w:rPr>
      </w:pPr>
      <w:r>
        <w:rPr>
          <w:rFonts w:ascii="Arial" w:cs="Arial" w:eastAsia="Arial" w:hAnsi="Arial"/>
          <w:sz w:val="21"/>
          <w:szCs w:val="21"/>
          <w:color w:val="auto"/>
        </w:rPr>
        <w:t>The Company’s financial condition was strong, benefiting from a large capital infusion and the indemnification on losses for a substantial portion of the balance sheet. Liquidity levels were high, with unencumbered liquid assets exceeding $2 billion at the acquisition date. Projected levels of future earnings and liquidity were substantial. Management was not compelled to sell loans to meet liquidity demands.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(4) The current economic environment and market conditions, and</w:t>
      </w:r>
    </w:p>
    <w:p>
      <w:pPr>
        <w:spacing w:after="0" w:line="239" w:lineRule="exact"/>
        <w:rPr>
          <w:sz w:val="20"/>
          <w:szCs w:val="20"/>
          <w:color w:val="auto"/>
        </w:rPr>
      </w:pPr>
    </w:p>
    <w:p>
      <w:pPr>
        <w:jc w:val="both"/>
        <w:ind w:right="120" w:firstLine="1280"/>
        <w:spacing w:after="0" w:line="253" w:lineRule="auto"/>
        <w:rPr>
          <w:sz w:val="20"/>
          <w:szCs w:val="20"/>
          <w:color w:val="auto"/>
        </w:rPr>
      </w:pPr>
      <w:r>
        <w:rPr>
          <w:rFonts w:ascii="Arial" w:cs="Arial" w:eastAsia="Arial" w:hAnsi="Arial"/>
          <w:sz w:val="21"/>
          <w:szCs w:val="21"/>
          <w:color w:val="auto"/>
        </w:rPr>
        <w:t>The economic environment and market conditions at the acquisition date, as well as the significant uncertainties with respect to when conditions might improve, were generally not conducive to identifying specific loans or even specific loan types for sale.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(5) The Company’s past practices.</w:t>
      </w:r>
    </w:p>
    <w:p>
      <w:pPr>
        <w:spacing w:after="0" w:line="239" w:lineRule="exact"/>
        <w:rPr>
          <w:sz w:val="20"/>
          <w:szCs w:val="20"/>
          <w:color w:val="auto"/>
        </w:rPr>
      </w:pPr>
    </w:p>
    <w:p>
      <w:pPr>
        <w:ind w:right="140" w:firstLine="1280"/>
        <w:spacing w:after="0" w:line="268" w:lineRule="auto"/>
        <w:rPr>
          <w:sz w:val="20"/>
          <w:szCs w:val="20"/>
          <w:color w:val="auto"/>
        </w:rPr>
      </w:pPr>
      <w:r>
        <w:rPr>
          <w:rFonts w:ascii="Arial" w:cs="Arial" w:eastAsia="Arial" w:hAnsi="Arial"/>
          <w:sz w:val="21"/>
          <w:szCs w:val="21"/>
          <w:color w:val="auto"/>
        </w:rPr>
        <w:t>The Company had no substantive operations prior to the recognition date. As a result, the Company did not consider past practices relevant to its loan classification.</w:t>
      </w:r>
    </w:p>
    <w:p>
      <w:pPr>
        <w:spacing w:after="0" w:line="181" w:lineRule="exact"/>
        <w:rPr>
          <w:sz w:val="20"/>
          <w:szCs w:val="20"/>
          <w:color w:val="auto"/>
        </w:rPr>
      </w:pPr>
    </w:p>
    <w:p>
      <w:pPr>
        <w:ind w:right="480" w:firstLine="1280"/>
        <w:spacing w:after="0" w:line="322" w:lineRule="auto"/>
        <w:rPr>
          <w:sz w:val="20"/>
          <w:szCs w:val="20"/>
          <w:color w:val="auto"/>
        </w:rPr>
      </w:pPr>
      <w:r>
        <w:rPr>
          <w:rFonts w:ascii="Arial" w:cs="Arial" w:eastAsia="Arial" w:hAnsi="Arial"/>
          <w:sz w:val="19"/>
          <w:szCs w:val="19"/>
          <w:color w:val="auto"/>
        </w:rPr>
        <w:t>As discussed in Note 1 on page F-16 of the 10-K, loans not originated for sale in the secondary market and not otherwise acquired with the intent to sell are transferred into the held for sale classification when they are specifically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7252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745" w:right="259" w:bottom="1440" w:gutter="0" w:footer="0" w:header="0"/>
        </w:sectPr>
      </w:pPr>
    </w:p>
    <w:bookmarkStart w:id="8" w:name="page9"/>
    <w:bookmarkEnd w:id="8"/>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9</w:t>
      </w:r>
    </w:p>
    <w:p>
      <w:pPr>
        <w:spacing w:after="0" w:line="200" w:lineRule="exact"/>
        <w:rPr>
          <w:sz w:val="20"/>
          <w:szCs w:val="20"/>
          <w:color w:val="auto"/>
        </w:rPr>
      </w:pPr>
    </w:p>
    <w:p>
      <w:pPr>
        <w:spacing w:after="0" w:line="26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as being available for sale and a formal plan exists to sell them. ACI loans accounted for in pools are removed from the pools when they are sold, in accordance with ASC 310-30-40-1. As discussed above, the covered loan portfolio was acquired with the ability and intent to hold for investment for the foreseeable future. In fact, since acquisition, 83% of the UPB of covered loans that has been resolved has been resolved through means other than sale. While it was management’s intent to hold the covered loans for investment, it was contemplated, dependent on then current facts and circumstances, that certain loans would be considered for liquidation via sale in the future consistent with the contractual limitations contained in the Loss Sharing Agreements.</w:t>
      </w:r>
    </w:p>
    <w:p>
      <w:pPr>
        <w:spacing w:after="0" w:line="178" w:lineRule="exact"/>
        <w:rPr>
          <w:sz w:val="20"/>
          <w:szCs w:val="20"/>
          <w:color w:val="auto"/>
        </w:rPr>
      </w:pPr>
    </w:p>
    <w:p>
      <w:pPr>
        <w:ind w:right="80" w:firstLine="1280"/>
        <w:spacing w:after="0" w:line="244" w:lineRule="auto"/>
        <w:rPr>
          <w:sz w:val="20"/>
          <w:szCs w:val="20"/>
          <w:color w:val="auto"/>
        </w:rPr>
      </w:pPr>
      <w:r>
        <w:rPr>
          <w:rFonts w:ascii="Arial" w:cs="Arial" w:eastAsia="Arial" w:hAnsi="Arial"/>
          <w:sz w:val="21"/>
          <w:szCs w:val="21"/>
          <w:color w:val="auto"/>
        </w:rPr>
        <w:t>Guidance provided in the OCC Bank Accounting Advisory Series, Topic 2E Questions 5 and 6, further supports the Company’s classification. The fact pattern in question 5 stipulates that a bank has identified certain loans in its portfolio that it may sell in the future, but there is no definitive sales plan or sale date. The fact pattern in question 6 stipulates that a bank is targeting obligors or industries for exposure reduction in general, without identifying a specific loan. The guidance provides that loans should not be accounted for as held for sale until the bank has made a decision to sell the loans and identified the specific loans it intends to sell.</w:t>
      </w:r>
    </w:p>
    <w:p>
      <w:pPr>
        <w:spacing w:after="0" w:line="207" w:lineRule="exact"/>
        <w:rPr>
          <w:sz w:val="20"/>
          <w:szCs w:val="20"/>
          <w:color w:val="auto"/>
        </w:rPr>
      </w:pPr>
    </w:p>
    <w:p>
      <w:pPr>
        <w:ind w:right="140" w:firstLine="1280"/>
        <w:spacing w:after="0" w:line="257" w:lineRule="auto"/>
        <w:rPr>
          <w:sz w:val="20"/>
          <w:szCs w:val="20"/>
          <w:color w:val="auto"/>
        </w:rPr>
      </w:pPr>
      <w:r>
        <w:rPr>
          <w:rFonts w:ascii="Arial" w:cs="Arial" w:eastAsia="Arial" w:hAnsi="Arial"/>
          <w:sz w:val="20"/>
          <w:szCs w:val="20"/>
          <w:color w:val="auto"/>
        </w:rPr>
        <w:t>The Company also considered the discussion of “unit of account” in the 2007 SEC Staff speech. This discussion indicated that the Staff has accepted both individual loan level and homogenous group level approaches to determination of the unit of account for classification purposes. The discussion cites an alternative, if management intends to sell only a portion of a population of similar loans but has not identified specific loans for sale, of classifying a percentage of the entire balance as held for investment and a percentage as held for sale. Although the Company contemplated that some loans would likely be identified for sale in the future, the Company considered this alternative to be less preferable and less understandable to financial statement users given its facts and circumstances including, but not limited to:</w:t>
      </w:r>
    </w:p>
    <w:p>
      <w:pPr>
        <w:spacing w:after="0" w:line="196" w:lineRule="exact"/>
        <w:rPr>
          <w:sz w:val="20"/>
          <w:szCs w:val="20"/>
          <w:color w:val="auto"/>
        </w:rPr>
      </w:pPr>
    </w:p>
    <w:p>
      <w:pPr>
        <w:ind w:left="640" w:right="420" w:hanging="313"/>
        <w:spacing w:after="0" w:line="247"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economic and market conditions that made it difficult to identify, at acquisition, the characteristics of loans that might be offered for sale in the future,</w:t>
      </w:r>
    </w:p>
    <w:p>
      <w:pPr>
        <w:spacing w:after="0" w:line="1" w:lineRule="exact"/>
        <w:rPr>
          <w:rFonts w:ascii="Arial" w:cs="Arial" w:eastAsia="Arial" w:hAnsi="Arial"/>
          <w:sz w:val="21"/>
          <w:szCs w:val="21"/>
          <w:color w:val="auto"/>
        </w:rPr>
      </w:pPr>
    </w:p>
    <w:p>
      <w:pPr>
        <w:ind w:left="640" w:right="340" w:hanging="313"/>
        <w:spacing w:after="0" w:line="23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covered loan portfolio as a whole was not a homogenous group of loans lending itself readily to the application of this alternative, and</w:t>
      </w:r>
    </w:p>
    <w:p>
      <w:pPr>
        <w:spacing w:after="0" w:line="1" w:lineRule="exact"/>
        <w:rPr>
          <w:rFonts w:ascii="Arial" w:cs="Arial" w:eastAsia="Arial" w:hAnsi="Arial"/>
          <w:sz w:val="21"/>
          <w:szCs w:val="21"/>
          <w:color w:val="auto"/>
        </w:rPr>
      </w:pPr>
    </w:p>
    <w:p>
      <w:pPr>
        <w:ind w:left="640" w:right="380" w:hanging="313"/>
        <w:spacing w:after="0" w:line="27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complexities, both operationally and from the perspective of users of the financial statements, involved with applying ASC 310-30 to a percentage of the covered loan portfolio not consisting of specifically identified loans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505" w:right="279" w:bottom="1440" w:gutter="0" w:footer="0" w:header="0"/>
        </w:sectPr>
      </w:pPr>
    </w:p>
    <w:bookmarkStart w:id="9" w:name="page10"/>
    <w:bookmarkEnd w:id="9"/>
    <w:p>
      <w:pPr>
        <w:spacing w:after="0"/>
        <w:rPr>
          <w:sz w:val="20"/>
          <w:szCs w:val="20"/>
          <w:color w:val="auto"/>
        </w:rPr>
      </w:pPr>
      <w:r>
        <w:rPr>
          <w:rFonts w:ascii="Arial" w:cs="Arial" w:eastAsia="Arial" w:hAnsi="Arial"/>
          <w:sz w:val="21"/>
          <w:szCs w:val="21"/>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August 27, 2013</w:t>
      </w:r>
    </w:p>
    <w:p>
      <w:pPr>
        <w:spacing w:after="0"/>
        <w:rPr>
          <w:sz w:val="20"/>
          <w:szCs w:val="20"/>
          <w:color w:val="auto"/>
        </w:rPr>
      </w:pPr>
      <w:r>
        <w:rPr>
          <w:rFonts w:ascii="Arial" w:cs="Arial" w:eastAsia="Arial" w:hAnsi="Arial"/>
          <w:sz w:val="21"/>
          <w:szCs w:val="21"/>
          <w:color w:val="auto"/>
        </w:rPr>
        <w:t>Page 10</w:t>
      </w: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pools, such as stratifying the loans into homogeneous pools and maintaining the integrity of those pools.</w:t>
      </w:r>
    </w:p>
    <w:p>
      <w:pPr>
        <w:spacing w:after="0" w:line="239" w:lineRule="exact"/>
        <w:rPr>
          <w:sz w:val="20"/>
          <w:szCs w:val="20"/>
          <w:color w:val="auto"/>
        </w:rPr>
      </w:pPr>
    </w:p>
    <w:p>
      <w:pPr>
        <w:ind w:right="160" w:firstLine="1280"/>
        <w:spacing w:after="0" w:line="253" w:lineRule="auto"/>
        <w:rPr>
          <w:sz w:val="20"/>
          <w:szCs w:val="20"/>
          <w:color w:val="auto"/>
        </w:rPr>
      </w:pPr>
      <w:r>
        <w:rPr>
          <w:rFonts w:ascii="Arial" w:cs="Arial" w:eastAsia="Arial" w:hAnsi="Arial"/>
          <w:sz w:val="21"/>
          <w:szCs w:val="21"/>
          <w:color w:val="auto"/>
        </w:rPr>
        <w:t>The Company has fully disclosed and consistently applied its accounting policies with respect to the classification of loan receivables and the provisions of the Loss Sharing Agreements in an effort to provide transparency to users of its financial statements.</w:t>
      </w:r>
    </w:p>
    <w:p>
      <w:pPr>
        <w:spacing w:after="0" w:line="196" w:lineRule="exact"/>
        <w:rPr>
          <w:sz w:val="20"/>
          <w:szCs w:val="20"/>
          <w:color w:val="auto"/>
        </w:rPr>
      </w:pPr>
    </w:p>
    <w:p>
      <w:pPr>
        <w:ind w:firstLine="1280"/>
        <w:spacing w:after="0" w:line="283" w:lineRule="auto"/>
        <w:rPr>
          <w:sz w:val="20"/>
          <w:szCs w:val="20"/>
          <w:color w:val="auto"/>
        </w:rPr>
      </w:pPr>
      <w:r>
        <w:rPr>
          <w:rFonts w:ascii="Arial" w:cs="Arial" w:eastAsia="Arial" w:hAnsi="Arial"/>
          <w:sz w:val="19"/>
          <w:szCs w:val="19"/>
          <w:color w:val="auto"/>
        </w:rPr>
        <w:t>The Company acknowledges that: (i) it is responsible for the adequacy and accuracy of the disclosure contained in the above-referenced filing; (ii) Staff comments or changes to disclosure in response to Staff comments do not foreclose the Commission from taking any action with respect to the above-referenced filing; and (iii) 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Please telephone the undersigned at (212) 735-2573 if you have any questions or require any additional information.</w:t>
      </w:r>
    </w:p>
    <w:p>
      <w:pPr>
        <w:spacing w:after="0" w:line="200" w:lineRule="exact"/>
        <w:rPr>
          <w:sz w:val="20"/>
          <w:szCs w:val="20"/>
          <w:color w:val="auto"/>
        </w:rPr>
      </w:pPr>
    </w:p>
    <w:p>
      <w:pPr>
        <w:spacing w:after="0" w:line="302"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Very truly yours,</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/s/ Dwight S. Yoo</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Dwight S. Yoo</w:t>
      </w:r>
    </w:p>
    <w:p>
      <w:pPr>
        <w:spacing w:after="0" w:line="239" w:lineRule="exact"/>
        <w:rPr>
          <w:sz w:val="20"/>
          <w:szCs w:val="20"/>
          <w:color w:val="auto"/>
        </w:rPr>
      </w:pPr>
    </w:p>
    <w:p>
      <w:pPr>
        <w:ind w:left="580" w:hanging="573"/>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Leslie Lunak, Chief Financial Officer, BankUnited, Inc.</w:t>
      </w:r>
    </w:p>
    <w:sectPr>
      <w:pgSz w:w="11900" w:h="16838" w:orient="portrait"/>
      <w:cols w:equalWidth="0" w:num="1">
        <w:col w:w="11420"/>
      </w:cols>
      <w:pgMar w:left="240" w:top="5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2019-12-07T23:16:40Z</dcterms:created>
  <dcterms:modified xsi:type="dcterms:W3CDTF">2019-12-07T23:16:40Z</dcterms:modified>
</cp:coreProperties>
</file>