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27, 2026</w:t>
      </w:r>
    </w:p>
    <w:p>
      <w:pPr>
        <w:spacing w:after="0" w:line="2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346075</wp:posOffset>
            </wp:positionV>
            <wp:extent cx="70910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1045" cy="825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295275</wp:posOffset>
            </wp:positionV>
            <wp:extent cx="709104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104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2676525</wp:posOffset>
            </wp:positionH>
            <wp:positionV relativeFrom="paragraph">
              <wp:posOffset>266065</wp:posOffset>
            </wp:positionV>
            <wp:extent cx="1798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8320" cy="1714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tbl>
      <w:tblPr>
        <w:tblLayout w:type="fixed"/>
        <w:tblInd w:w="520" w:type="dxa"/>
        <w:tblCellMar>
          <w:top w:w="0" w:type="dxa"/>
          <w:left w:w="0" w:type="dxa"/>
          <w:bottom w:w="0" w:type="dxa"/>
          <w:right w:w="0" w:type="dxa"/>
        </w:tblCellMar>
      </w:tblPr>
      <w:tr>
        <w:trPr>
          <w:trHeight w:val="394"/>
        </w:trPr>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
          </w:tcPr>
          <w:p>
            <w:pPr>
              <w:jc w:val="center"/>
              <w:ind w:right="3349"/>
              <w:spacing w:after="0"/>
              <w:rPr>
                <w:sz w:val="20"/>
                <w:szCs w:val="20"/>
                <w:color w:val="auto"/>
              </w:rPr>
            </w:pPr>
            <w:r>
              <w:rPr>
                <w:rFonts w:ascii="Times New Roman" w:cs="Times New Roman" w:eastAsia="Times New Roman" w:hAnsi="Times New Roman"/>
                <w:sz w:val="32"/>
                <w:szCs w:val="32"/>
                <w:b w:val="1"/>
                <w:bCs w:val="1"/>
                <w:color w:val="auto"/>
                <w:w w:val="99"/>
              </w:rPr>
              <w:t>FORM S-8</w:t>
            </w:r>
          </w:p>
        </w:tc>
      </w:tr>
      <w:tr>
        <w:trPr>
          <w:trHeight w:val="299"/>
        </w:trPr>
        <w:tc>
          <w:tcPr>
            <w:tcW w:w="3260" w:type="dxa"/>
            <w:vAlign w:val="bottom"/>
          </w:tcPr>
          <w:p>
            <w:pPr>
              <w:spacing w:after="0"/>
              <w:rPr>
                <w:sz w:val="24"/>
                <w:szCs w:val="24"/>
                <w:color w:val="auto"/>
              </w:rPr>
            </w:pPr>
          </w:p>
        </w:tc>
        <w:tc>
          <w:tcPr>
            <w:tcW w:w="6800" w:type="dxa"/>
            <w:vAlign w:val="bottom"/>
            <w:gridSpan w:val="3"/>
          </w:tcPr>
          <w:p>
            <w:pPr>
              <w:jc w:val="center"/>
              <w:ind w:right="3049"/>
              <w:spacing w:after="0"/>
              <w:rPr>
                <w:sz w:val="20"/>
                <w:szCs w:val="20"/>
                <w:color w:val="auto"/>
              </w:rPr>
            </w:pPr>
            <w:r>
              <w:rPr>
                <w:rFonts w:ascii="Times New Roman" w:cs="Times New Roman" w:eastAsia="Times New Roman" w:hAnsi="Times New Roman"/>
                <w:sz w:val="25"/>
                <w:szCs w:val="25"/>
                <w:b w:val="1"/>
                <w:bCs w:val="1"/>
                <w:color w:val="auto"/>
                <w:w w:val="98"/>
              </w:rPr>
              <w:t>REGISTRATION STATEMENT</w:t>
            </w:r>
          </w:p>
        </w:tc>
      </w:tr>
      <w:tr>
        <w:trPr>
          <w:trHeight w:val="237"/>
        </w:trPr>
        <w:tc>
          <w:tcPr>
            <w:tcW w:w="3260" w:type="dxa"/>
            <w:vAlign w:val="bottom"/>
          </w:tcPr>
          <w:p>
            <w:pPr>
              <w:spacing w:after="0"/>
              <w:rPr>
                <w:sz w:val="20"/>
                <w:szCs w:val="20"/>
                <w:color w:val="auto"/>
              </w:rPr>
            </w:pPr>
          </w:p>
        </w:tc>
        <w:tc>
          <w:tcPr>
            <w:tcW w:w="6800" w:type="dxa"/>
            <w:vAlign w:val="bottom"/>
            <w:gridSpan w:val="3"/>
          </w:tcPr>
          <w:p>
            <w:pPr>
              <w:jc w:val="center"/>
              <w:ind w:right="3049"/>
              <w:spacing w:after="0"/>
              <w:rPr>
                <w:sz w:val="20"/>
                <w:szCs w:val="20"/>
                <w:color w:val="auto"/>
              </w:rPr>
            </w:pPr>
            <w:r>
              <w:rPr>
                <w:rFonts w:ascii="Times New Roman" w:cs="Times New Roman" w:eastAsia="Times New Roman" w:hAnsi="Times New Roman"/>
                <w:sz w:val="18"/>
                <w:szCs w:val="18"/>
                <w:b w:val="1"/>
                <w:bCs w:val="1"/>
                <w:i w:val="1"/>
                <w:iCs w:val="1"/>
                <w:color w:val="auto"/>
                <w:w w:val="98"/>
              </w:rPr>
              <w:t>UNDER THE SECURITIES ACT OF 1933</w:t>
            </w:r>
          </w:p>
        </w:tc>
      </w:tr>
      <w:tr>
        <w:trPr>
          <w:trHeight w:val="166"/>
        </w:trPr>
        <w:tc>
          <w:tcPr>
            <w:tcW w:w="3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tcBorders>
              <w:bottom w:val="single" w:sz="8" w:color="auto"/>
            </w:tcBorders>
          </w:tcPr>
          <w:p>
            <w:pPr>
              <w:spacing w:after="0"/>
              <w:rPr>
                <w:sz w:val="14"/>
                <w:szCs w:val="14"/>
                <w:color w:val="auto"/>
              </w:rPr>
            </w:pPr>
          </w:p>
        </w:tc>
        <w:tc>
          <w:tcPr>
            <w:tcW w:w="3480" w:type="dxa"/>
            <w:vAlign w:val="bottom"/>
          </w:tcPr>
          <w:p>
            <w:pPr>
              <w:spacing w:after="0"/>
              <w:rPr>
                <w:sz w:val="14"/>
                <w:szCs w:val="14"/>
                <w:color w:val="auto"/>
              </w:rPr>
            </w:pPr>
          </w:p>
        </w:tc>
      </w:tr>
      <w:tr>
        <w:trPr>
          <w:trHeight w:val="407"/>
        </w:trPr>
        <w:tc>
          <w:tcPr>
            <w:tcW w:w="3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40" w:type="dxa"/>
            <w:vAlign w:val="bottom"/>
            <w:gridSpan w:val="2"/>
          </w:tcPr>
          <w:p>
            <w:pPr>
              <w:jc w:val="center"/>
              <w:ind w:right="3409"/>
              <w:spacing w:after="0"/>
              <w:rPr>
                <w:sz w:val="20"/>
                <w:szCs w:val="20"/>
                <w:color w:val="auto"/>
              </w:rPr>
            </w:pPr>
            <w:r>
              <w:rPr>
                <w:rFonts w:ascii="Times New Roman" w:cs="Times New Roman" w:eastAsia="Times New Roman" w:hAnsi="Times New Roman"/>
                <w:sz w:val="28"/>
                <w:szCs w:val="28"/>
                <w:b w:val="1"/>
                <w:bCs w:val="1"/>
                <w:color w:val="auto"/>
              </w:rPr>
              <w:t>BankUnited, Inc.</w:t>
            </w:r>
          </w:p>
        </w:tc>
      </w:tr>
      <w:tr>
        <w:trPr>
          <w:trHeight w:val="223"/>
        </w:trPr>
        <w:tc>
          <w:tcPr>
            <w:tcW w:w="3260" w:type="dxa"/>
            <w:vAlign w:val="bottom"/>
          </w:tcPr>
          <w:p>
            <w:pPr>
              <w:spacing w:after="0"/>
              <w:rPr>
                <w:sz w:val="19"/>
                <w:szCs w:val="19"/>
                <w:color w:val="auto"/>
              </w:rPr>
            </w:pPr>
          </w:p>
        </w:tc>
        <w:tc>
          <w:tcPr>
            <w:tcW w:w="6800" w:type="dxa"/>
            <w:vAlign w:val="bottom"/>
            <w:gridSpan w:val="3"/>
          </w:tcPr>
          <w:p>
            <w:pPr>
              <w:jc w:val="center"/>
              <w:ind w:right="308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85"/>
        </w:trPr>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3480" w:type="dxa"/>
            <w:vAlign w:val="bottom"/>
          </w:tcPr>
          <w:p>
            <w:pPr>
              <w:spacing w:after="0"/>
              <w:rPr>
                <w:sz w:val="7"/>
                <w:szCs w:val="7"/>
                <w:color w:val="auto"/>
              </w:rPr>
            </w:pPr>
          </w:p>
        </w:tc>
      </w:tr>
      <w:tr>
        <w:trPr>
          <w:trHeight w:val="338"/>
        </w:trPr>
        <w:tc>
          <w:tcPr>
            <w:tcW w:w="3260" w:type="dxa"/>
            <w:vAlign w:val="bottom"/>
          </w:tcPr>
          <w:p>
            <w:pPr>
              <w:jc w:val="center"/>
              <w:ind w:right="87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800" w:type="dxa"/>
            <w:vAlign w:val="bottom"/>
            <w:gridSpan w:val="3"/>
          </w:tcPr>
          <w:p>
            <w:pPr>
              <w:ind w:left="5340"/>
              <w:spacing w:after="0"/>
              <w:rPr>
                <w:sz w:val="20"/>
                <w:szCs w:val="20"/>
                <w:color w:val="auto"/>
              </w:rPr>
            </w:pPr>
            <w:r>
              <w:rPr>
                <w:rFonts w:ascii="Times New Roman" w:cs="Times New Roman" w:eastAsia="Times New Roman" w:hAnsi="Times New Roman"/>
                <w:sz w:val="18"/>
                <w:szCs w:val="18"/>
                <w:b w:val="1"/>
                <w:bCs w:val="1"/>
                <w:color w:val="auto"/>
              </w:rPr>
              <w:t>27-0162450</w:t>
            </w:r>
          </w:p>
        </w:tc>
      </w:tr>
      <w:tr>
        <w:trPr>
          <w:trHeight w:val="185"/>
        </w:trPr>
        <w:tc>
          <w:tcPr>
            <w:tcW w:w="3260" w:type="dxa"/>
            <w:vAlign w:val="bottom"/>
          </w:tcPr>
          <w:p>
            <w:pPr>
              <w:jc w:val="center"/>
              <w:ind w:right="852"/>
              <w:spacing w:after="0"/>
              <w:rPr>
                <w:sz w:val="20"/>
                <w:szCs w:val="20"/>
                <w:color w:val="auto"/>
              </w:rPr>
            </w:pPr>
            <w:r>
              <w:rPr>
                <w:rFonts w:ascii="Times New Roman" w:cs="Times New Roman" w:eastAsia="Times New Roman" w:hAnsi="Times New Roman"/>
                <w:sz w:val="14"/>
                <w:szCs w:val="14"/>
                <w:color w:val="auto"/>
              </w:rPr>
              <w:t>(State of Incorporation)</w:t>
            </w:r>
          </w:p>
        </w:tc>
        <w:tc>
          <w:tcPr>
            <w:tcW w:w="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80" w:type="dxa"/>
            <w:vAlign w:val="bottom"/>
          </w:tcPr>
          <w:p>
            <w:pPr>
              <w:ind w:left="1420"/>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49"/>
        </w:trPr>
        <w:tc>
          <w:tcPr>
            <w:tcW w:w="3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14817 Oak Lane,Miami Lakes, FL</w:t>
            </w:r>
          </w:p>
        </w:tc>
        <w:tc>
          <w:tcPr>
            <w:tcW w:w="6800" w:type="dxa"/>
            <w:vAlign w:val="bottom"/>
            <w:gridSpan w:val="3"/>
          </w:tcPr>
          <w:p>
            <w:pPr>
              <w:jc w:val="right"/>
              <w:ind w:right="869"/>
              <w:spacing w:after="0"/>
              <w:rPr>
                <w:sz w:val="20"/>
                <w:szCs w:val="20"/>
                <w:color w:val="auto"/>
              </w:rPr>
            </w:pPr>
            <w:r>
              <w:rPr>
                <w:rFonts w:ascii="Times New Roman" w:cs="Times New Roman" w:eastAsia="Times New Roman" w:hAnsi="Times New Roman"/>
                <w:sz w:val="18"/>
                <w:szCs w:val="18"/>
                <w:b w:val="1"/>
                <w:bCs w:val="1"/>
                <w:color w:val="auto"/>
              </w:rPr>
              <w:t>33016</w:t>
            </w:r>
          </w:p>
        </w:tc>
      </w:tr>
      <w:tr>
        <w:trPr>
          <w:trHeight w:val="185"/>
        </w:trPr>
        <w:tc>
          <w:tcPr>
            <w:tcW w:w="3260" w:type="dxa"/>
            <w:vAlign w:val="bottom"/>
          </w:tcPr>
          <w:p>
            <w:pPr>
              <w:jc w:val="center"/>
              <w:ind w:right="93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6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8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BankUnited, Inc. Amended and Restated 2023 Omnibus Equity Incentive Plan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2633980</wp:posOffset>
            </wp:positionH>
            <wp:positionV relativeFrom="paragraph">
              <wp:posOffset>198755</wp:posOffset>
            </wp:positionV>
            <wp:extent cx="18745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45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Rajinder P. Singh</w:t>
      </w:r>
    </w:p>
    <w:p>
      <w:pPr>
        <w:jc w:val="center"/>
        <w:spacing w:after="0" w:line="237" w:lineRule="auto"/>
        <w:rPr>
          <w:sz w:val="20"/>
          <w:szCs w:val="20"/>
          <w:color w:val="auto"/>
        </w:rPr>
      </w:pPr>
      <w:r>
        <w:rPr>
          <w:rFonts w:ascii="Times New Roman" w:cs="Times New Roman" w:eastAsia="Times New Roman" w:hAnsi="Times New Roman"/>
          <w:sz w:val="18"/>
          <w:szCs w:val="18"/>
          <w:b w:val="1"/>
          <w:bCs w:val="1"/>
          <w:color w:val="auto"/>
        </w:rPr>
        <w:t>Chairman, President and Chief Executive Officer</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BankUnited, Inc.</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14817 Oak Lane</w:t>
      </w:r>
    </w:p>
    <w:p>
      <w:pPr>
        <w:jc w:val="center"/>
        <w:spacing w:after="0" w:line="233" w:lineRule="auto"/>
        <w:rPr>
          <w:sz w:val="20"/>
          <w:szCs w:val="20"/>
          <w:color w:val="auto"/>
        </w:rPr>
      </w:pPr>
      <w:r>
        <w:rPr>
          <w:rFonts w:ascii="Times New Roman" w:cs="Times New Roman" w:eastAsia="Times New Roman" w:hAnsi="Times New Roman"/>
          <w:sz w:val="18"/>
          <w:szCs w:val="18"/>
          <w:b w:val="1"/>
          <w:bCs w:val="1"/>
          <w:color w:val="auto"/>
        </w:rPr>
        <w:t>Miami Lakes, FL 33016</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(305) 569-2000</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With copies to:</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Brandon C. Price</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Michael J. Schobel</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Wachtell, Lipton, Rosen &amp; Katz</w:t>
      </w:r>
    </w:p>
    <w:p>
      <w:pPr>
        <w:jc w:val="center"/>
        <w:spacing w:after="0" w:line="233" w:lineRule="auto"/>
        <w:rPr>
          <w:sz w:val="20"/>
          <w:szCs w:val="20"/>
          <w:color w:val="auto"/>
        </w:rPr>
      </w:pPr>
      <w:r>
        <w:rPr>
          <w:rFonts w:ascii="Times New Roman" w:cs="Times New Roman" w:eastAsia="Times New Roman" w:hAnsi="Times New Roman"/>
          <w:sz w:val="18"/>
          <w:szCs w:val="18"/>
          <w:b w:val="1"/>
          <w:bCs w:val="1"/>
          <w:color w:val="auto"/>
        </w:rPr>
        <w:t>51 West 52nd Street</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New York, NY 10019</w:t>
      </w: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(212) 402-1000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2633980</wp:posOffset>
            </wp:positionH>
            <wp:positionV relativeFrom="paragraph">
              <wp:posOffset>37465</wp:posOffset>
            </wp:positionV>
            <wp:extent cx="18745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4520" cy="17145"/>
                    </a:xfrm>
                    <a:prstGeom prst="rect">
                      <a:avLst/>
                    </a:prstGeom>
                    <a:noFill/>
                  </pic:spPr>
                </pic:pic>
              </a:graphicData>
            </a:graphic>
          </wp:anchor>
        </w:drawing>
      </w:r>
    </w:p>
    <w:p>
      <w:pPr>
        <w:spacing w:after="0" w:line="367" w:lineRule="exact"/>
        <w:rPr>
          <w:sz w:val="24"/>
          <w:szCs w:val="24"/>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180" w:type="dxa"/>
            <w:vAlign w:val="bottom"/>
          </w:tcPr>
          <w:p>
            <w:pPr>
              <w:ind w:left="19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Accelerated filer</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7"/>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180" w:type="dxa"/>
            <w:vAlign w:val="bottom"/>
          </w:tcPr>
          <w:p>
            <w:pPr>
              <w:ind w:left="1960"/>
              <w:spacing w:after="0" w:line="161" w:lineRule="exact"/>
              <w:rPr>
                <w:sz w:val="20"/>
                <w:szCs w:val="20"/>
                <w:color w:val="auto"/>
              </w:rPr>
            </w:pPr>
            <w:r>
              <w:rPr>
                <w:rFonts w:ascii="MS PGothic" w:cs="MS PGothic" w:eastAsia="MS PGothic" w:hAnsi="MS PGothic"/>
                <w:sz w:val="16"/>
                <w:szCs w:val="16"/>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34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940" w:type="dxa"/>
            <w:vAlign w:val="bottom"/>
          </w:tcPr>
          <w:p>
            <w:pPr>
              <w:ind w:left="18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jc w:val="both"/>
        <w:ind w:right="80"/>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228600</wp:posOffset>
            </wp:positionV>
            <wp:extent cx="711708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080" cy="4254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211455</wp:posOffset>
            </wp:positionV>
            <wp:extent cx="7117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080" cy="8255"/>
                    </a:xfrm>
                    <a:prstGeom prst="rect">
                      <a:avLst/>
                    </a:prstGeom>
                    <a:noFill/>
                  </pic:spPr>
                </pic:pic>
              </a:graphicData>
            </a:graphic>
          </wp:anchor>
        </w:drawing>
      </w:r>
    </w:p>
    <w:p>
      <w:pPr>
        <w:sectPr>
          <w:pgSz w:w="11900" w:h="16838" w:orient="portrait"/>
          <w:cols w:equalWidth="0" w:num="1">
            <w:col w:w="11240"/>
          </w:cols>
          <w:pgMar w:left="320" w:top="222"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SECURITIES</w:t>
      </w:r>
    </w:p>
    <w:p>
      <w:pPr>
        <w:spacing w:after="0" w:line="234" w:lineRule="exact"/>
        <w:rPr>
          <w:sz w:val="20"/>
          <w:szCs w:val="20"/>
          <w:color w:val="auto"/>
        </w:rPr>
      </w:pPr>
    </w:p>
    <w:p>
      <w:pPr>
        <w:ind w:firstLine="321"/>
        <w:spacing w:after="0" w:line="250" w:lineRule="auto"/>
        <w:rPr>
          <w:sz w:val="20"/>
          <w:szCs w:val="20"/>
          <w:color w:val="auto"/>
        </w:rPr>
      </w:pPr>
      <w:r>
        <w:rPr>
          <w:rFonts w:ascii="Times New Roman" w:cs="Times New Roman" w:eastAsia="Times New Roman" w:hAnsi="Times New Roman"/>
          <w:sz w:val="17"/>
          <w:szCs w:val="17"/>
          <w:color w:val="auto"/>
        </w:rPr>
        <w:t>This Registration 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is being filed by BankUnited,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Registrant</w:t>
      </w:r>
      <w:r>
        <w:rPr>
          <w:rFonts w:ascii="Times New Roman" w:cs="Times New Roman" w:eastAsia="Times New Roman" w:hAnsi="Times New Roman"/>
          <w:sz w:val="17"/>
          <w:szCs w:val="17"/>
          <w:color w:val="auto"/>
        </w:rPr>
        <w:t>”) to register 1,500,000 shares of common stock, par value $0.01 per share (the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that may be issued under the BankUnited, Inc. Amended and Restated 2023 Omnibus Equity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which was approved by the Company’s shareholders on May 21, 2026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These shares are in addition to the shares previously registered on the Corporation’s Registration Statement on Form S-8 with respect to the Plan filed with the Securities and Exchange Commission on May 16, 2023 (Registration No. 333-271981) (the “</w:t>
      </w:r>
      <w:r>
        <w:rPr>
          <w:rFonts w:ascii="Times New Roman" w:cs="Times New Roman" w:eastAsia="Times New Roman" w:hAnsi="Times New Roman"/>
          <w:sz w:val="17"/>
          <w:szCs w:val="17"/>
          <w:b w:val="1"/>
          <w:bCs w:val="1"/>
          <w:color w:val="auto"/>
        </w:rPr>
        <w:t>Prior Registration Statement</w:t>
      </w:r>
      <w:r>
        <w:rPr>
          <w:rFonts w:ascii="Times New Roman" w:cs="Times New Roman" w:eastAsia="Times New Roman" w:hAnsi="Times New Roman"/>
          <w:sz w:val="17"/>
          <w:szCs w:val="17"/>
          <w:color w:val="auto"/>
        </w:rPr>
        <w:t>”). This Registration Statement relates to securities of the same class as that to which the Prior Registration Statement relates and is filed in accordance with General Instruction E to Form S-8. Accordingly, pursuant to General Instruction E, the Corporation hereby incorporates by reference herein the contents of the Prior Registration Statement and hereby deems such contents to be a part hereof, except as otherwise updated or modified by this Registration Statement.</w:t>
      </w:r>
    </w:p>
    <w:p>
      <w:pPr>
        <w:spacing w:after="0" w:line="3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40" w:lineRule="exact"/>
        <w:rPr>
          <w:sz w:val="20"/>
          <w:szCs w:val="20"/>
          <w:color w:val="auto"/>
        </w:rPr>
      </w:pPr>
    </w:p>
    <w:p>
      <w:pPr>
        <w:ind w:firstLine="321"/>
        <w:spacing w:after="0" w:line="235" w:lineRule="auto"/>
        <w:rPr>
          <w:sz w:val="20"/>
          <w:szCs w:val="20"/>
          <w:color w:val="auto"/>
        </w:rPr>
      </w:pPr>
      <w:r>
        <w:rPr>
          <w:rFonts w:ascii="Times New Roman" w:cs="Times New Roman" w:eastAsia="Times New Roman" w:hAnsi="Times New Roman"/>
          <w:sz w:val="18"/>
          <w:szCs w:val="18"/>
          <w:color w:val="auto"/>
        </w:rPr>
        <w:t>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allows the Corporation to “incorporate by reference” in this Registration Statement the information in the documents that it files with the SEC, which means that the Corporation can disclose important information to you by referring you to those documents. The information incorporated by reference in this Registration Statement is considered to be a part of this Registration Statement, and information in documents that the Corporation files later with the SEC will automatically update and supersede information contained in documents filed earlier with the SEC or contained in this Registration Statement. The Corporation incorporates by reference in this Registration Statement the documents listed below and any future filings that it may make with the SEC under Sections 13(a), 13(c), 14 or 15(d) of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to this Registration Statement which indicates that all securities offered hereby have been sold or which deregisters all securities then remaining unsold, except that the Corporation is not incorporating by reference any information that is deemed to have been furnished and not filed in accordance with the SEC’s rules.</w:t>
      </w:r>
    </w:p>
    <w:p>
      <w:pPr>
        <w:spacing w:after="0" w:line="210" w:lineRule="exact"/>
        <w:rPr>
          <w:sz w:val="20"/>
          <w:szCs w:val="20"/>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Annual Report on Form 10-K for the year ended December 31, 2025 filed on February 26, 2026;</w:t>
      </w:r>
    </w:p>
    <w:p>
      <w:pPr>
        <w:spacing w:after="0" w:line="2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Quarterly Reports on Form 10-Q for the period ended March 31, 2026 filed on May 7, 2026;</w:t>
      </w:r>
    </w:p>
    <w:p>
      <w:pPr>
        <w:spacing w:after="0" w:line="233" w:lineRule="exact"/>
        <w:rPr>
          <w:rFonts w:ascii="Times New Roman" w:cs="Times New Roman" w:eastAsia="Times New Roman" w:hAnsi="Times New Roman"/>
          <w:sz w:val="18"/>
          <w:szCs w:val="18"/>
          <w:color w:val="auto"/>
        </w:rPr>
      </w:pPr>
    </w:p>
    <w:p>
      <w:pPr>
        <w:ind w:left="640" w:right="300" w:hanging="313"/>
        <w:spacing w:after="0" w:line="262"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Current Reports on Form 8-K filed on January 21, 2026 (other than those portions that were furnished and not filed), May 12, 2026 and May 21, 2026;</w:t>
      </w:r>
    </w:p>
    <w:p>
      <w:pPr>
        <w:spacing w:after="0" w:line="189" w:lineRule="exact"/>
        <w:rPr>
          <w:rFonts w:ascii="Times New Roman" w:cs="Times New Roman" w:eastAsia="Times New Roman" w:hAnsi="Times New Roman"/>
          <w:sz w:val="18"/>
          <w:szCs w:val="18"/>
          <w:color w:val="auto"/>
        </w:rPr>
      </w:pPr>
    </w:p>
    <w:p>
      <w:pPr>
        <w:ind w:left="640" w:right="160" w:hanging="313"/>
        <w:spacing w:after="0" w:line="262"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portions of the Corporation’s Definitive Proxy Statement on Schedule 14A filed on April 10, 2026 that are incorporated by reference into Part III of the Corporation’s Annual Report on Form 10-K referred to above; and</w:t>
      </w:r>
    </w:p>
    <w:p>
      <w:pPr>
        <w:spacing w:after="0" w:line="189" w:lineRule="exact"/>
        <w:rPr>
          <w:rFonts w:ascii="Times New Roman" w:cs="Times New Roman" w:eastAsia="Times New Roman" w:hAnsi="Times New Roman"/>
          <w:sz w:val="18"/>
          <w:szCs w:val="18"/>
          <w:color w:val="auto"/>
        </w:rPr>
      </w:pPr>
    </w:p>
    <w:p>
      <w:pPr>
        <w:jc w:val="both"/>
        <w:ind w:left="640" w:right="140" w:hanging="313"/>
        <w:spacing w:after="0" w:line="247" w:lineRule="auto"/>
        <w:tabs>
          <w:tab w:leader="none" w:pos="6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the Corporation’s common stock, par value $0.01 per share, contained in the registration statement on Form 8-A (File No. 001-35039) filed with the SEC on January 18, 2011 to register such securities under the Exchange Act, including any amendment or report filed for the purpose of updating such description.</w:t>
      </w:r>
    </w:p>
    <w:p>
      <w:pPr>
        <w:spacing w:after="0" w:line="96" w:lineRule="exact"/>
        <w:rPr>
          <w:sz w:val="20"/>
          <w:szCs w:val="20"/>
          <w:color w:val="auto"/>
        </w:rPr>
      </w:pPr>
    </w:p>
    <w:p>
      <w:pPr>
        <w:ind w:right="100" w:firstLine="321"/>
        <w:spacing w:after="0" w:line="291" w:lineRule="auto"/>
        <w:rPr>
          <w:sz w:val="20"/>
          <w:szCs w:val="20"/>
          <w:color w:val="auto"/>
        </w:rPr>
      </w:pPr>
      <w:r>
        <w:rPr>
          <w:rFonts w:ascii="Times New Roman" w:cs="Times New Roman" w:eastAsia="Times New Roman" w:hAnsi="Times New Roman"/>
          <w:sz w:val="17"/>
          <w:szCs w:val="17"/>
          <w:color w:val="auto"/>
        </w:rPr>
        <w:t>The Corporation will furnish without charge to you, upon written or oral request, a copy of any or all of the documents described above, except for exhibits to those documents, unless the exhibits are specifically incorporated by reference into those documents. Requests for copies should be addressed to:</w:t>
      </w:r>
    </w:p>
    <w:p>
      <w:pPr>
        <w:spacing w:after="0" w:line="7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BankUnited, Inc.</w:t>
      </w:r>
    </w:p>
    <w:p>
      <w:pPr>
        <w:spacing w:after="0" w:line="4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Attention: Investor Relations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14817 Oak Lane</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Lakes, FL 33016</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231-6400</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Exhibit Index immediately prior to the signature page hereto.</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65" w:right="339"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32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3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320" w:type="dxa"/>
            <w:vAlign w:val="bottom"/>
            <w:tcBorders>
              <w:top w:val="single" w:sz="8" w:color="auto"/>
            </w:tcBorders>
            <w:gridSpan w:val="3"/>
          </w:tcPr>
          <w:p>
            <w:pPr>
              <w:ind w:left="20"/>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5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780" w:type="dxa"/>
            <w:vAlign w:val="bottom"/>
            <w:tcBorders>
              <w:top w:val="single" w:sz="8" w:color="auto"/>
            </w:tcBorders>
            <w:gridSpan w:val="12"/>
          </w:tcPr>
          <w:p>
            <w:pPr>
              <w:spacing w:after="0"/>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Amended and Restated Certificate of Incorporation of BankUnited, Inc. (incorporated herein by reference to Exhibit 3.1 to BankUnited,</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60" w:type="dxa"/>
            <w:vAlign w:val="bottom"/>
            <w:tcBorders>
              <w:top w:val="single" w:sz="8" w:color="0000FF"/>
            </w:tcBorders>
            <w:gridSpan w:val="10"/>
          </w:tcPr>
          <w:p>
            <w:pPr>
              <w:spacing w:after="0" w:line="154" w:lineRule="exact"/>
              <w:rPr>
                <w:rFonts w:ascii="Times New Roman" w:cs="Times New Roman" w:eastAsia="Times New Roman" w:hAnsi="Times New Roman"/>
                <w:sz w:val="17"/>
                <w:szCs w:val="17"/>
                <w:color w:val="0000FF"/>
              </w:rPr>
            </w:pPr>
            <w:hyperlink r:id="rId15">
              <w:r>
                <w:rPr>
                  <w:rFonts w:ascii="Times New Roman" w:cs="Times New Roman" w:eastAsia="Times New Roman" w:hAnsi="Times New Roman"/>
                  <w:sz w:val="17"/>
                  <w:szCs w:val="17"/>
                  <w:color w:val="0000FF"/>
                </w:rPr>
                <w:t>Inc.’s Annual Report on Form 10-K filed on March 1, 2018)</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gridSpan w:val="3"/>
          </w:tcPr>
          <w:p>
            <w:pPr>
              <w:ind w:left="20"/>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780" w:type="dxa"/>
            <w:vAlign w:val="bottom"/>
            <w:gridSpan w:val="12"/>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Bylaws of BankUnited, Inc. (incorporated herein by reference to Exhibit 3.1 to BankUnited, Inc.’s Current</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3"/>
          </w:tcPr>
          <w:p>
            <w:pPr>
              <w:spacing w:after="0" w:line="154" w:lineRule="exact"/>
              <w:rPr>
                <w:rFonts w:ascii="Times New Roman" w:cs="Times New Roman" w:eastAsia="Times New Roman" w:hAnsi="Times New Roman"/>
                <w:sz w:val="17"/>
                <w:szCs w:val="17"/>
                <w:color w:val="0000FF"/>
              </w:rPr>
            </w:pPr>
            <w:hyperlink r:id="rId16">
              <w:r>
                <w:rPr>
                  <w:rFonts w:ascii="Times New Roman" w:cs="Times New Roman" w:eastAsia="Times New Roman" w:hAnsi="Times New Roman"/>
                  <w:sz w:val="17"/>
                  <w:szCs w:val="17"/>
                  <w:color w:val="0000FF"/>
                </w:rPr>
                <w:t>Report on Form 8-K filed on August 15, 2016)</w:t>
              </w:r>
            </w:hyperlink>
          </w:p>
        </w:tc>
        <w:tc>
          <w:tcPr>
            <w:tcW w:w="5940" w:type="dxa"/>
            <w:vAlign w:val="bottom"/>
            <w:tcBorders>
              <w:top w:val="single" w:sz="8" w:color="0000FF"/>
            </w:tcBorders>
            <w:gridSpan w:val="6"/>
          </w:tcPr>
          <w:p>
            <w:pPr>
              <w:spacing w:after="0"/>
              <w:rPr>
                <w:sz w:val="13"/>
                <w:szCs w:val="13"/>
                <w:color w:val="auto"/>
              </w:rPr>
            </w:pPr>
          </w:p>
        </w:tc>
        <w:tc>
          <w:tcPr>
            <w:tcW w:w="4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0" w:type="dxa"/>
            <w:vAlign w:val="bottom"/>
            <w:gridSpan w:val="3"/>
          </w:tcPr>
          <w:p>
            <w:pPr>
              <w:ind w:left="20"/>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780" w:type="dxa"/>
            <w:vAlign w:val="bottom"/>
            <w:gridSpan w:val="12"/>
          </w:tcPr>
          <w:p>
            <w:pPr>
              <w:spacing w:after="0"/>
              <w:rPr>
                <w:rFonts w:ascii="Times New Roman" w:cs="Times New Roman" w:eastAsia="Times New Roman" w:hAnsi="Times New Roman"/>
                <w:sz w:val="18"/>
                <w:szCs w:val="18"/>
                <w:color w:val="0000FF"/>
                <w:w w:val="98"/>
              </w:rPr>
            </w:pPr>
            <w:hyperlink r:id="rId17">
              <w:r>
                <w:rPr>
                  <w:rFonts w:ascii="Times New Roman" w:cs="Times New Roman" w:eastAsia="Times New Roman" w:hAnsi="Times New Roman"/>
                  <w:sz w:val="18"/>
                  <w:szCs w:val="18"/>
                  <w:color w:val="0000FF"/>
                  <w:w w:val="98"/>
                </w:rPr>
                <w:t>BankUnited, Inc. Amended and Restated 2023 Omnibus Equity Incentive Plan (incorporated by reference to Exhibit 10.1 to BankUnited,</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740" w:type="dxa"/>
            <w:vAlign w:val="bottom"/>
            <w:tcBorders>
              <w:top w:val="single" w:sz="8" w:color="0000FF"/>
            </w:tcBorders>
            <w:gridSpan w:val="11"/>
          </w:tcPr>
          <w:p>
            <w:pPr>
              <w:spacing w:after="0" w:line="154" w:lineRule="exact"/>
              <w:rPr>
                <w:rFonts w:ascii="Times New Roman" w:cs="Times New Roman" w:eastAsia="Times New Roman" w:hAnsi="Times New Roman"/>
                <w:sz w:val="17"/>
                <w:szCs w:val="17"/>
                <w:color w:val="0000FF"/>
              </w:rPr>
            </w:pPr>
            <w:hyperlink r:id="rId17">
              <w:r>
                <w:rPr>
                  <w:rFonts w:ascii="Times New Roman" w:cs="Times New Roman" w:eastAsia="Times New Roman" w:hAnsi="Times New Roman"/>
                  <w:sz w:val="17"/>
                  <w:szCs w:val="17"/>
                  <w:color w:val="0000FF"/>
                </w:rPr>
                <w:t>Inc.’s Current Report on Form 8-K filed on May 21, 2026)</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20" w:type="dxa"/>
            <w:vAlign w:val="bottom"/>
            <w:gridSpan w:val="3"/>
          </w:tcPr>
          <w:p>
            <w:pPr>
              <w:ind w:left="20"/>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w:t>
              </w:r>
            </w:hyperlink>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780" w:type="dxa"/>
            <w:vAlign w:val="bottom"/>
            <w:gridSpan w:val="12"/>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Specimen Common Stock Certificate (incorporated by reference to Exhibit 4.1 to BankUnited, Inc.’s Amendment No. 3 to the</w:t>
              </w:r>
            </w:hyperlink>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6"/>
          </w:tcPr>
          <w:p>
            <w:pPr>
              <w:spacing w:after="0" w:line="154" w:lineRule="exact"/>
              <w:rPr>
                <w:rFonts w:ascii="Times New Roman" w:cs="Times New Roman" w:eastAsia="Times New Roman" w:hAnsi="Times New Roman"/>
                <w:sz w:val="17"/>
                <w:szCs w:val="17"/>
                <w:color w:val="0000FF"/>
              </w:rPr>
            </w:pPr>
            <w:hyperlink r:id="rId18">
              <w:r>
                <w:rPr>
                  <w:rFonts w:ascii="Times New Roman" w:cs="Times New Roman" w:eastAsia="Times New Roman" w:hAnsi="Times New Roman"/>
                  <w:sz w:val="17"/>
                  <w:szCs w:val="17"/>
                  <w:color w:val="0000FF"/>
                </w:rPr>
                <w:t>Registration Statement on Form S-1 filed on January 18, 2011)</w:t>
              </w:r>
            </w:hyperlink>
          </w:p>
        </w:tc>
        <w:tc>
          <w:tcPr>
            <w:tcW w:w="4500" w:type="dxa"/>
            <w:vAlign w:val="bottom"/>
            <w:tcBorders>
              <w:top w:val="single" w:sz="8" w:color="0000FF"/>
            </w:tcBorders>
            <w:gridSpan w:val="2"/>
          </w:tcPr>
          <w:p>
            <w:pPr>
              <w:spacing w:after="0"/>
              <w:rPr>
                <w:sz w:val="13"/>
                <w:szCs w:val="13"/>
                <w:color w:val="auto"/>
              </w:rPr>
            </w:pPr>
          </w:p>
        </w:tc>
        <w:tc>
          <w:tcPr>
            <w:tcW w:w="8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1</w:t>
            </w: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Opinion of Wachtell, Lipton, Rosen &amp; Katz *</w:t>
            </w: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1</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Deloitte &amp; Touche LLP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88"/>
              </w:rPr>
              <w:t>23.</w:t>
            </w:r>
            <w:r>
              <w:rPr>
                <w:rFonts w:ascii="Times New Roman" w:cs="Times New Roman" w:eastAsia="Times New Roman" w:hAnsi="Times New Roman"/>
                <w:sz w:val="18"/>
                <w:szCs w:val="18"/>
                <w:u w:val="single" w:color="auto"/>
                <w:color w:val="0000FF"/>
                <w:w w:val="88"/>
              </w:rPr>
              <w:t>2</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Consent of Wachtell, Lipton, Rosen &amp; Katz (contained in its opinion filed as Exhibit 5.1 hereto) *</w:t>
            </w:r>
          </w:p>
        </w:tc>
        <w:tc>
          <w:tcPr>
            <w:tcW w:w="0" w:type="dxa"/>
            <w:vAlign w:val="bottom"/>
          </w:tcPr>
          <w:p>
            <w:pPr>
              <w:spacing w:after="0"/>
              <w:rPr>
                <w:sz w:val="1"/>
                <w:szCs w:val="1"/>
                <w:color w:val="auto"/>
              </w:rPr>
            </w:pPr>
          </w:p>
        </w:tc>
      </w:tr>
      <w:tr>
        <w:trPr>
          <w:trHeight w:val="20"/>
        </w:trPr>
        <w:tc>
          <w:tcPr>
            <w:tcW w:w="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40" w:type="dxa"/>
            <w:vAlign w:val="bottom"/>
            <w:gridSpan w:val="7"/>
            <w:shd w:val="clear" w:color="auto" w:fill="0000FF"/>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88"/>
              </w:rPr>
              <w:t>24.1</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Power of Attorney (included on the signature page to this Registration Statement) *</w:t>
            </w:r>
          </w:p>
        </w:tc>
        <w:tc>
          <w:tcPr>
            <w:tcW w:w="0" w:type="dxa"/>
            <w:vAlign w:val="bottom"/>
          </w:tcPr>
          <w:p>
            <w:pPr>
              <w:spacing w:after="0"/>
              <w:rPr>
                <w:sz w:val="1"/>
                <w:szCs w:val="1"/>
                <w:color w:val="auto"/>
              </w:rPr>
            </w:pPr>
          </w:p>
        </w:tc>
      </w:tr>
    </w:tbl>
    <w:p>
      <w:pPr>
        <w:ind w:left="1420" w:hanging="1382"/>
        <w:spacing w:after="0"/>
        <w:tabs>
          <w:tab w:leader="none" w:pos="1420" w:val="left"/>
        </w:tabs>
        <w:numPr>
          <w:ilvl w:val="1"/>
          <w:numId w:val="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Calculation of Filing Fee Table *</w:t>
      </w:r>
    </w:p>
    <w:p>
      <w:pPr>
        <w:spacing w:after="0" w:line="264"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4"/>
          <w:szCs w:val="14"/>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-146685</wp:posOffset>
            </wp:positionV>
            <wp:extent cx="12807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807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169"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4" w:lineRule="exact"/>
        <w:rPr>
          <w:sz w:val="20"/>
          <w:szCs w:val="20"/>
          <w:color w:val="auto"/>
        </w:rPr>
      </w:pPr>
    </w:p>
    <w:p>
      <w:pPr>
        <w:ind w:right="80" w:firstLine="321"/>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Miami Lakes, State of Florida, on May 27, 2026.</w:t>
      </w:r>
    </w:p>
    <w:p>
      <w:pPr>
        <w:spacing w:after="0" w:line="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BANKUNITED, INC.</w:t>
      </w:r>
    </w:p>
    <w:p>
      <w:pPr>
        <w:spacing w:after="0" w:line="25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James G. Mackey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15875</wp:posOffset>
            </wp:positionV>
            <wp:extent cx="35458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545840" cy="8255"/>
                    </a:xfrm>
                    <a:prstGeom prst="rect">
                      <a:avLst/>
                    </a:prstGeom>
                    <a:noFill/>
                  </pic:spPr>
                </pic:pic>
              </a:graphicData>
            </a:graphic>
          </wp:anchor>
        </w:drawing>
      </w:r>
    </w:p>
    <w:p>
      <w:pPr>
        <w:spacing w:after="0" w:line="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James G. Mackey</w:t>
      </w:r>
    </w:p>
    <w:p>
      <w:pPr>
        <w:spacing w:after="0" w:line="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31" w:lineRule="exact"/>
        <w:rPr>
          <w:sz w:val="20"/>
          <w:szCs w:val="20"/>
          <w:color w:val="auto"/>
        </w:rPr>
      </w:pPr>
    </w:p>
    <w:p>
      <w:pPr>
        <w:ind w:right="60" w:firstLine="321"/>
        <w:spacing w:after="0" w:line="236" w:lineRule="auto"/>
        <w:rPr>
          <w:sz w:val="20"/>
          <w:szCs w:val="20"/>
          <w:color w:val="auto"/>
        </w:rPr>
      </w:pPr>
      <w:r>
        <w:rPr>
          <w:rFonts w:ascii="Times New Roman" w:cs="Times New Roman" w:eastAsia="Times New Roman" w:hAnsi="Times New Roman"/>
          <w:sz w:val="18"/>
          <w:szCs w:val="18"/>
          <w:color w:val="auto"/>
        </w:rPr>
        <w:t>Each of the undersigned officers and directors of BankUnited, Inc. hereby severally constitutes and appoints Rajinder P. Singh and James Mackey, and each of them acting alone, as his or her true and lawful attorneys-in-fact and agents, with full power of substitution and resubstitution, for him or her and in his or her name, place and stead, and in any and all capacities, to sign any and all amendments (including post-effective amendments) to this registration statement and any subsequent registration statement filed pursuant to Rule 462 under the Securities Act of 1933, as amended, and to file the same, with all exhibits thereto and other documents in connection therewith, with the SEC and any applicable securities exchange or securities self-regulatory body,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individually, or their or his or her substitute or substitutes, may lawfully do or cause to be done by virtue hereof.</w:t>
      </w:r>
    </w:p>
    <w:p>
      <w:pPr>
        <w:spacing w:after="0" w:line="118" w:lineRule="exact"/>
        <w:rPr>
          <w:sz w:val="20"/>
          <w:szCs w:val="20"/>
          <w:color w:val="auto"/>
        </w:rPr>
      </w:pPr>
    </w:p>
    <w:p>
      <w:pPr>
        <w:ind w:right="660" w:firstLine="32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May 27, 2026.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9"/>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RAJINDER P. SINGH</w:t>
            </w:r>
          </w:p>
        </w:tc>
        <w:tc>
          <w:tcPr>
            <w:tcW w:w="440" w:type="dxa"/>
            <w:vAlign w:val="bottom"/>
          </w:tcPr>
          <w:p>
            <w:pPr>
              <w:spacing w:after="0"/>
              <w:rPr>
                <w:sz w:val="24"/>
                <w:szCs w:val="24"/>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65"/>
        </w:trPr>
        <w:tc>
          <w:tcPr>
            <w:tcW w:w="1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40" w:type="dxa"/>
            <w:vAlign w:val="bottom"/>
            <w:vMerge w:val="restart"/>
          </w:tcPr>
          <w:p>
            <w:pPr>
              <w:spacing w:after="0"/>
              <w:rPr>
                <w:sz w:val="5"/>
                <w:szCs w:val="5"/>
                <w:color w:val="auto"/>
              </w:rPr>
            </w:pPr>
          </w:p>
        </w:tc>
        <w:tc>
          <w:tcPr>
            <w:tcW w:w="4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Rajinder P. Singh</w:t>
            </w:r>
          </w:p>
        </w:tc>
        <w:tc>
          <w:tcPr>
            <w:tcW w:w="440" w:type="dxa"/>
            <w:vAlign w:val="bottom"/>
            <w:vMerge w:val="continue"/>
          </w:tcPr>
          <w:p>
            <w:pPr>
              <w:spacing w:after="0"/>
              <w:rPr>
                <w:sz w:val="12"/>
                <w:szCs w:val="12"/>
                <w:color w:val="auto"/>
              </w:rPr>
            </w:pPr>
          </w:p>
        </w:tc>
        <w:tc>
          <w:tcPr>
            <w:tcW w:w="4500" w:type="dxa"/>
            <w:vAlign w:val="bottom"/>
            <w:gridSpan w:val="4"/>
            <w:vMerge w:val="continue"/>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0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JAMES G. MACKEY</w:t>
            </w:r>
          </w:p>
        </w:tc>
        <w:tc>
          <w:tcPr>
            <w:tcW w:w="440" w:type="dxa"/>
            <w:vAlign w:val="bottom"/>
          </w:tcPr>
          <w:p>
            <w:pPr>
              <w:spacing w:after="0"/>
              <w:rPr>
                <w:sz w:val="21"/>
                <w:szCs w:val="21"/>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Chief Financial Officer (Principal Financial and</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65"/>
        </w:trPr>
        <w:tc>
          <w:tcPr>
            <w:tcW w:w="1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40" w:type="dxa"/>
            <w:vAlign w:val="bottom"/>
            <w:vMerge w:val="restart"/>
          </w:tcPr>
          <w:p>
            <w:pPr>
              <w:spacing w:after="0"/>
              <w:rPr>
                <w:sz w:val="5"/>
                <w:szCs w:val="5"/>
                <w:color w:val="auto"/>
              </w:rPr>
            </w:pPr>
          </w:p>
        </w:tc>
        <w:tc>
          <w:tcPr>
            <w:tcW w:w="45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c>
          <w:tcPr>
            <w:tcW w:w="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James G. Mackey</w:t>
            </w:r>
          </w:p>
        </w:tc>
        <w:tc>
          <w:tcPr>
            <w:tcW w:w="440" w:type="dxa"/>
            <w:vAlign w:val="bottom"/>
            <w:vMerge w:val="continue"/>
          </w:tcPr>
          <w:p>
            <w:pPr>
              <w:spacing w:after="0"/>
              <w:rPr>
                <w:sz w:val="12"/>
                <w:szCs w:val="12"/>
                <w:color w:val="auto"/>
              </w:rPr>
            </w:pPr>
          </w:p>
        </w:tc>
        <w:tc>
          <w:tcPr>
            <w:tcW w:w="4500" w:type="dxa"/>
            <w:vAlign w:val="bottom"/>
            <w:gridSpan w:val="4"/>
            <w:vMerge w:val="continue"/>
          </w:tcPr>
          <w:p>
            <w:pPr>
              <w:spacing w:after="0"/>
              <w:rPr>
                <w:sz w:val="12"/>
                <w:szCs w:val="12"/>
                <w:color w:val="auto"/>
              </w:rPr>
            </w:pPr>
          </w:p>
        </w:tc>
        <w:tc>
          <w:tcPr>
            <w:tcW w:w="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02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TERE BLANCA</w:t>
            </w:r>
          </w:p>
        </w:tc>
        <w:tc>
          <w:tcPr>
            <w:tcW w:w="440" w:type="dxa"/>
            <w:vAlign w:val="bottom"/>
          </w:tcPr>
          <w:p>
            <w:pPr>
              <w:spacing w:after="0"/>
              <w:rPr>
                <w:sz w:val="24"/>
                <w:szCs w:val="24"/>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Tere Blanca</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JOHN N. DIGIACOMO</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John N. DiGiacomo</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MICHAEL J. DOWLING</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J. Dowling</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DOUGLAS J. PAULS</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Douglas J. Pauls</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WILLIAM S. RUBENSTEIN</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William S. Rubenstein</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GERMAINE SMITH-BAUGH</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Germaine Smith-Baugh</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SANJIV SOBTI</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15"/>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Sanjiv Sobti</w:t>
            </w:r>
          </w:p>
        </w:tc>
        <w:tc>
          <w:tcPr>
            <w:tcW w:w="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LYNNE WINES</w:t>
            </w:r>
          </w:p>
        </w:tc>
        <w:tc>
          <w:tcPr>
            <w:tcW w:w="440" w:type="dxa"/>
            <w:vAlign w:val="bottom"/>
          </w:tcPr>
          <w:p>
            <w:pPr>
              <w:spacing w:after="0"/>
              <w:rPr>
                <w:sz w:val="20"/>
                <w:szCs w:val="20"/>
                <w:color w:val="auto"/>
              </w:rPr>
            </w:pP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2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May 27, 2026</w:t>
            </w:r>
          </w:p>
        </w:tc>
        <w:tc>
          <w:tcPr>
            <w:tcW w:w="0" w:type="dxa"/>
            <w:vAlign w:val="bottom"/>
          </w:tcPr>
          <w:p>
            <w:pPr>
              <w:spacing w:after="0"/>
              <w:rPr>
                <w:sz w:val="1"/>
                <w:szCs w:val="1"/>
                <w:color w:val="auto"/>
              </w:rPr>
            </w:pPr>
          </w:p>
        </w:tc>
      </w:tr>
      <w:tr>
        <w:trPr>
          <w:trHeight w:val="226"/>
        </w:trPr>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7"/>
              </w:rPr>
              <w:t>Lynne Wines</w:t>
            </w: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026"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[WLRK Letterhead]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27,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BankUnited,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14817 Oak Lane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Lakes, Florida 33016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Registration Statement on Form S-8</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8"/>
          <w:szCs w:val="18"/>
          <w:color w:val="auto"/>
        </w:rPr>
        <w:t>We have acted as special counsel to BankUnited,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of (i) the registration statement on Form S-8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the date hereof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which term does not include any other document or agreement whether or not specifically referred to therein or attached as an exhibit or schedule thereto) under the Securities Act of 1933,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relating to the registration of 1,500,000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common stock, par value $0.01 per share, of the Company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may be issued by the Company pursuant to the BankUnited, Inc. Amended and Restated 2023 Omnibus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21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For the purposes of giving this opinion, we have examined the Registration Statement, the Plan, and the amended and restated certificate of incorporation and amended and restated bylaws of the Company. We have also examined the originals, or duplicates or certified or conformed copies, of such corporate records, agreements, documents and other instruments and have made such other investigations as we have deemed relevant and necessary in connection with this opinion. As to questions of fact material to this opinion, we have relied, with your approval, upon oral and written representations of the Company and certificates or comparable documents of public officials and of officers and representatives of the Company.</w:t>
      </w:r>
    </w:p>
    <w:p>
      <w:pPr>
        <w:spacing w:after="0" w:line="212"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In making such examination and rendering this opinion, we have assumed without verification the genuineness of all signatures, the authenticity of all documents submitted to us as originals, the authenticity of the originals of such documents submitted to us as certified copies, the conformity to originals of all documents submitted to us as copies, the authenticity of the originals of such documents, that all documents submitted to us as certified copies are true and correct copies of such originals and the legal capacity of all individuals executing any of the foregoing documents.</w:t>
      </w:r>
    </w:p>
    <w:p>
      <w:pPr>
        <w:spacing w:after="0" w:line="211"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color w:val="auto"/>
        </w:rPr>
        <w:t>We have also assumed that there will be no material changes to the documents we have examined and that, at all times prior to the issuance of the Shares, the Company will maintain a sufficient number of authorized but unissued shares of common stock, par value $0.01 per share, available for such issuance.</w:t>
      </w:r>
    </w:p>
    <w:p>
      <w:pPr>
        <w:spacing w:after="0" w:line="189"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Based upon and subject to the foregoing examination and in reliance thereon, and subject to the qualifications, assumptions and limitations stated herein and in reliance on statements of fact contained in the documents that we have examined or reviewed, we are of the opinion that when the Shares have been issued by the Company in accordance with the terms of the Plan, the Shares will be validly issued, duly authorized, fully paid and nonassessable.</w:t>
      </w:r>
    </w:p>
    <w:p>
      <w:pPr>
        <w:ind w:right="20"/>
        <w:spacing w:after="0" w:line="229" w:lineRule="auto"/>
        <w:rPr>
          <w:sz w:val="20"/>
          <w:szCs w:val="20"/>
          <w:color w:val="auto"/>
        </w:rPr>
      </w:pPr>
      <w:r>
        <w:rPr>
          <w:rFonts w:ascii="Times New Roman" w:cs="Times New Roman" w:eastAsia="Times New Roman" w:hAnsi="Times New Roman"/>
          <w:sz w:val="18"/>
          <w:szCs w:val="18"/>
          <w:color w:val="auto"/>
        </w:rPr>
        <w:t>This opinion is subject to the effects of (a) bankruptcy, insolvency, fraudulent conveyance, reorganization, moratorium and other similar laws relating to or affecting the enforcement of creditors’ rights generally, (b) general equitable principles (whether considered in a proceeding in equity or at law) and (c) an implied covenant of good faith and fair dealing. We are members of the bar of the State of New York; the Company is a Delaware corporation, and we have not considered, and we express no opinion as to, any law other than the Delaware General Corporation Law (including the statutory provisions, all applicable provisions of the Delaware Constitution and reported judicial decisions interpreting the foregoing).</w:t>
      </w:r>
    </w:p>
    <w:p>
      <w:pPr>
        <w:spacing w:after="0" w:line="1"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8"/>
          <w:szCs w:val="18"/>
          <w:color w:val="auto"/>
        </w:rPr>
        <w:t>We hereby consent to be named in the Registration Statement and the Post-Effective Amendment as the attorneys who passed upon the legality of the Shares and to the filing of a copy of this opinion as Exhibit 5.1 to the Registration Statement. In giving such consent, we do not thereby admit that we are in the category of persons whose consent is required under Section 7 of the Securities Act of 1933, as amended, and the rules and regulations of the Commission promulgated thereunder. This opinion speaks as of its date, and we undertake no (and hereby disclaim any) obligation to update this opinion.</w:t>
      </w:r>
    </w:p>
    <w:p>
      <w:pPr>
        <w:spacing w:after="0" w:line="2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5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/s/ Wachtell, Lipton, Rosen &amp; Katz</w:t>
      </w:r>
    </w:p>
    <w:p>
      <w:pPr>
        <w:sectPr>
          <w:pgSz w:w="11900" w:h="16838" w:orient="portrait"/>
          <w:cols w:equalWidth="0" w:num="1">
            <w:col w:w="11240"/>
          </w:cols>
          <w:pgMar w:left="320" w:top="865"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4"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26, 2026 relating to the consolidated financial statements of BankUnited, Inc. and subsidiaries and the effectiveness of BankUnited, Inc. and subsidiaries internal control over financial reporting, appearing in the Annual Report on Form 10-K of BankUnited, Inc. for the year ended December 31, 2025.</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Deloitte &amp; Touche LLP</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Miami, Florida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27, 2026</w:t>
      </w:r>
    </w:p>
    <w:p>
      <w:pPr>
        <w:sectPr>
          <w:pgSz w:w="11900" w:h="16838" w:orient="portrait"/>
          <w:cols w:equalWidth="0" w:num="1">
            <w:col w:w="11240"/>
          </w:cols>
          <w:pgMar w:left="320" w:top="1025" w:right="339" w:bottom="1440" w:gutter="0" w:footer="0" w:header="0"/>
        </w:sectPr>
      </w:pPr>
    </w:p>
    <w:bookmarkStart w:id="6" w:name="page7"/>
    <w:bookmarkEnd w:id="6"/>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BankUnited,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1,500,000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$ 46.90</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$ 9,715.33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70,350,000.00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$ 9,715.33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70,350,000.00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$ 9,715.33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840"/>
        <w:spacing w:after="0" w:line="252" w:lineRule="auto"/>
        <w:rPr>
          <w:sz w:val="20"/>
          <w:szCs w:val="20"/>
          <w:color w:val="auto"/>
        </w:rPr>
      </w:pPr>
      <w:r>
        <w:rPr>
          <w:rFonts w:ascii="Arial" w:cs="Arial" w:eastAsia="Arial" w:hAnsi="Arial"/>
          <w:sz w:val="21"/>
          <w:szCs w:val="21"/>
          <w:color w:val="auto"/>
        </w:rPr>
        <w:t>Pursuant to Rule 416(a) under the Securities Act of 1933, as amended (Securities Act), this Registration Statement also covers any additional securities that may be offered or issued pursuant to the BankUnited, Inc. Amended and Restated 2023 Omnibus Incentive Plan to prevent dilution as a result of adjustments for stock splits, stock dividends or similar transactions.</w:t>
      </w:r>
    </w:p>
    <w:p>
      <w:pPr>
        <w:spacing w:after="0" w:line="188" w:lineRule="exact"/>
        <w:rPr>
          <w:sz w:val="20"/>
          <w:szCs w:val="20"/>
          <w:color w:val="auto"/>
        </w:rPr>
      </w:pPr>
    </w:p>
    <w:p>
      <w:pPr>
        <w:ind w:left="800" w:right="980"/>
        <w:spacing w:after="0" w:line="252" w:lineRule="auto"/>
        <w:rPr>
          <w:sz w:val="20"/>
          <w:szCs w:val="20"/>
          <w:color w:val="auto"/>
        </w:rPr>
      </w:pPr>
      <w:r>
        <w:rPr>
          <w:rFonts w:ascii="Arial" w:cs="Arial" w:eastAsia="Arial" w:hAnsi="Arial"/>
          <w:sz w:val="21"/>
          <w:szCs w:val="21"/>
          <w:color w:val="auto"/>
        </w:rPr>
        <w:t>Proposed Maximum Offering Price Per Unit estimated solely for the purpose of calculating the registration fee pursuant to 457(c) and 457(h) of the Securities Act, and based on the average of the high and low prices of shares of the Registrants common stock reported on the New York Stock Exchange on May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225425</wp:posOffset>
            </wp:positionV>
            <wp:extent cx="6387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7"/>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5" Type="http://schemas.openxmlformats.org/officeDocument/2006/relationships/hyperlink" Target="https://www.sec.gov/Archives/edgar/data/1504008/000150400818000004/a20171231ex31.htm" TargetMode="External"/><Relationship Id="rId16" Type="http://schemas.openxmlformats.org/officeDocument/2006/relationships/hyperlink" Target="https://www.sec.gov/Archives/edgar/data/1504008/000150400816000073/ex-31amendedandrestatedbyx.htm" TargetMode="External"/><Relationship Id="rId17" Type="http://schemas.openxmlformats.org/officeDocument/2006/relationships/hyperlink" Target="https://www.sec.gov/Archives/edgar/data/1504008/000150400826000049/exhibit101-bankunitedincam.htm" TargetMode="External"/><Relationship Id="rId18" Type="http://schemas.openxmlformats.org/officeDocument/2006/relationships/hyperlink" Target="https://www.sec.gov/Archives/edgar/data/1504008/000104746911000177/a2201582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2026-05-27T17:36:46Z</dcterms:created>
  <dcterms:modified xsi:type="dcterms:W3CDTF">2026-05-27T17:36:46Z</dcterms:modified>
</cp:coreProperties>
</file>